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78482" w14:textId="77777777" w:rsidR="00AD38EA" w:rsidRPr="00B66BA4" w:rsidRDefault="00AD38EA" w:rsidP="00B66BA4">
      <w:pPr>
        <w:spacing w:line="276" w:lineRule="auto"/>
        <w:rPr>
          <w:rFonts w:ascii="Cambria" w:hAnsi="Cambria"/>
          <w:b/>
          <w:bCs/>
          <w:sz w:val="28"/>
          <w:szCs w:val="28"/>
        </w:rPr>
      </w:pPr>
    </w:p>
    <w:p w14:paraId="2A71801B" w14:textId="4A619FCB" w:rsidR="008965CB" w:rsidRPr="00B66BA4" w:rsidRDefault="00BE05B7" w:rsidP="00BE05B7">
      <w:pPr>
        <w:jc w:val="center"/>
        <w:rPr>
          <w:rFonts w:ascii="Cambria" w:hAnsi="Cambria"/>
          <w:b/>
          <w:bCs/>
          <w:sz w:val="28"/>
          <w:szCs w:val="28"/>
        </w:rPr>
      </w:pPr>
      <w:r w:rsidRPr="00BE05B7">
        <w:rPr>
          <w:rFonts w:ascii="Cambria" w:hAnsi="Cambria" w:cs="Tahoma"/>
          <w:b/>
          <w:bCs/>
          <w:sz w:val="28"/>
          <w:szCs w:val="28"/>
        </w:rPr>
        <w:t xml:space="preserve">Unveiling </w:t>
      </w:r>
      <w:r>
        <w:rPr>
          <w:rFonts w:ascii="Cambria" w:hAnsi="Cambria" w:cs="Tahoma"/>
          <w:b/>
          <w:bCs/>
          <w:sz w:val="28"/>
          <w:szCs w:val="28"/>
        </w:rPr>
        <w:t>t</w:t>
      </w:r>
      <w:r w:rsidRPr="00BE05B7">
        <w:rPr>
          <w:rFonts w:ascii="Cambria" w:hAnsi="Cambria" w:cs="Tahoma"/>
          <w:b/>
          <w:bCs/>
          <w:sz w:val="28"/>
          <w:szCs w:val="28"/>
        </w:rPr>
        <w:t xml:space="preserve">he Dual Nature </w:t>
      </w:r>
      <w:r>
        <w:rPr>
          <w:rFonts w:ascii="Cambria" w:hAnsi="Cambria" w:cs="Tahoma"/>
          <w:b/>
          <w:bCs/>
          <w:sz w:val="28"/>
          <w:szCs w:val="28"/>
        </w:rPr>
        <w:t>o</w:t>
      </w:r>
      <w:r w:rsidRPr="00BE05B7">
        <w:rPr>
          <w:rFonts w:ascii="Cambria" w:hAnsi="Cambria" w:cs="Tahoma"/>
          <w:b/>
          <w:bCs/>
          <w:sz w:val="28"/>
          <w:szCs w:val="28"/>
        </w:rPr>
        <w:t>f A</w:t>
      </w:r>
      <w:r>
        <w:rPr>
          <w:rFonts w:ascii="Cambria" w:hAnsi="Cambria" w:cs="Tahoma"/>
          <w:b/>
          <w:bCs/>
          <w:sz w:val="28"/>
          <w:szCs w:val="28"/>
        </w:rPr>
        <w:t>I</w:t>
      </w:r>
      <w:r w:rsidRPr="00BE05B7">
        <w:rPr>
          <w:rFonts w:ascii="Cambria" w:hAnsi="Cambria" w:cs="Tahoma"/>
          <w:b/>
          <w:bCs/>
          <w:sz w:val="28"/>
          <w:szCs w:val="28"/>
        </w:rPr>
        <w:t xml:space="preserve"> </w:t>
      </w:r>
      <w:r>
        <w:rPr>
          <w:rFonts w:ascii="Cambria" w:hAnsi="Cambria" w:cs="Tahoma"/>
          <w:b/>
          <w:bCs/>
          <w:sz w:val="28"/>
          <w:szCs w:val="28"/>
        </w:rPr>
        <w:t>i</w:t>
      </w:r>
      <w:r w:rsidRPr="00BE05B7">
        <w:rPr>
          <w:rFonts w:ascii="Cambria" w:hAnsi="Cambria" w:cs="Tahoma"/>
          <w:b/>
          <w:bCs/>
          <w:sz w:val="28"/>
          <w:szCs w:val="28"/>
        </w:rPr>
        <w:t xml:space="preserve">n Grading: A Systematic Review </w:t>
      </w:r>
      <w:r>
        <w:rPr>
          <w:rFonts w:ascii="Cambria" w:hAnsi="Cambria" w:cs="Tahoma"/>
          <w:b/>
          <w:bCs/>
          <w:sz w:val="28"/>
          <w:szCs w:val="28"/>
        </w:rPr>
        <w:t>o</w:t>
      </w:r>
      <w:r w:rsidRPr="00BE05B7">
        <w:rPr>
          <w:rFonts w:ascii="Cambria" w:hAnsi="Cambria" w:cs="Tahoma"/>
          <w:b/>
          <w:bCs/>
          <w:sz w:val="28"/>
          <w:szCs w:val="28"/>
        </w:rPr>
        <w:t xml:space="preserve">f Benefits </w:t>
      </w:r>
      <w:r>
        <w:rPr>
          <w:rFonts w:ascii="Cambria" w:hAnsi="Cambria" w:cs="Tahoma"/>
          <w:b/>
          <w:bCs/>
          <w:sz w:val="28"/>
          <w:szCs w:val="28"/>
        </w:rPr>
        <w:t>a</w:t>
      </w:r>
      <w:r w:rsidRPr="00BE05B7">
        <w:rPr>
          <w:rFonts w:ascii="Cambria" w:hAnsi="Cambria" w:cs="Tahoma"/>
          <w:b/>
          <w:bCs/>
          <w:sz w:val="28"/>
          <w:szCs w:val="28"/>
        </w:rPr>
        <w:t xml:space="preserve">nd Mitigation Strategies </w:t>
      </w:r>
      <w:r>
        <w:rPr>
          <w:rFonts w:ascii="Cambria" w:hAnsi="Cambria" w:cs="Tahoma"/>
          <w:b/>
          <w:bCs/>
          <w:sz w:val="28"/>
          <w:szCs w:val="28"/>
        </w:rPr>
        <w:t>f</w:t>
      </w:r>
      <w:r w:rsidRPr="00BE05B7">
        <w:rPr>
          <w:rFonts w:ascii="Cambria" w:hAnsi="Cambria" w:cs="Tahoma"/>
          <w:b/>
          <w:bCs/>
          <w:sz w:val="28"/>
          <w:szCs w:val="28"/>
        </w:rPr>
        <w:t>or Algorithmic Bias</w:t>
      </w:r>
      <w:r w:rsidRPr="00BE05B7">
        <w:rPr>
          <w:rFonts w:ascii="Cambria" w:hAnsi="Cambria"/>
          <w:b/>
          <w:bCs/>
          <w:sz w:val="36"/>
          <w:szCs w:val="36"/>
        </w:rPr>
        <w:t xml:space="preserve"> </w:t>
      </w:r>
      <w:r w:rsidR="008406D3" w:rsidRPr="00B66BA4">
        <w:rPr>
          <w:rFonts w:ascii="Cambria" w:hAnsi="Cambria"/>
          <w:b/>
          <w:bCs/>
          <w:sz w:val="28"/>
          <w:szCs w:val="28"/>
        </w:rPr>
        <w:t xml:space="preserve"> </w:t>
      </w:r>
    </w:p>
    <w:p w14:paraId="49441C62" w14:textId="77777777" w:rsidR="00A01DAD" w:rsidRPr="00B66BA4" w:rsidRDefault="00A01DAD" w:rsidP="00755763">
      <w:pPr>
        <w:jc w:val="center"/>
        <w:rPr>
          <w:rFonts w:ascii="Cambria" w:hAnsi="Cambria"/>
          <w:b/>
          <w:bCs/>
        </w:rPr>
      </w:pPr>
    </w:p>
    <w:tbl>
      <w:tblPr>
        <w:tblW w:w="9356" w:type="dxa"/>
        <w:tblLayout w:type="fixed"/>
        <w:tblCellMar>
          <w:left w:w="0" w:type="dxa"/>
          <w:right w:w="0" w:type="dxa"/>
        </w:tblCellMar>
        <w:tblLook w:val="01E0" w:firstRow="1" w:lastRow="1" w:firstColumn="1" w:lastColumn="1" w:noHBand="0" w:noVBand="0"/>
      </w:tblPr>
      <w:tblGrid>
        <w:gridCol w:w="3118"/>
        <w:gridCol w:w="3119"/>
        <w:gridCol w:w="3119"/>
      </w:tblGrid>
      <w:tr w:rsidR="00DC488A" w14:paraId="3E402A37" w14:textId="77777777" w:rsidTr="00DC488A">
        <w:trPr>
          <w:trHeight w:hRule="exact" w:val="340"/>
        </w:trPr>
        <w:tc>
          <w:tcPr>
            <w:tcW w:w="3118" w:type="dxa"/>
            <w:tcBorders>
              <w:top w:val="nil"/>
              <w:left w:val="nil"/>
              <w:bottom w:val="nil"/>
              <w:right w:val="nil"/>
            </w:tcBorders>
          </w:tcPr>
          <w:p w14:paraId="476CB077" w14:textId="15B56BDE" w:rsidR="00DC488A" w:rsidRPr="00DC488A" w:rsidRDefault="00BE05B7" w:rsidP="00DC488A">
            <w:pPr>
              <w:spacing w:before="80"/>
              <w:jc w:val="center"/>
              <w:rPr>
                <w:rFonts w:ascii="Cambria" w:eastAsia="Cambria" w:hAnsi="Cambria" w:cs="Cambria"/>
                <w:sz w:val="21"/>
                <w:szCs w:val="21"/>
              </w:rPr>
            </w:pPr>
            <w:r w:rsidRPr="00BE05B7">
              <w:rPr>
                <w:rFonts w:ascii="Cambria" w:hAnsi="Cambria" w:cs="Tahoma"/>
                <w:b/>
                <w:bCs/>
                <w:sz w:val="21"/>
                <w:szCs w:val="21"/>
              </w:rPr>
              <w:t xml:space="preserve">Eko </w:t>
            </w:r>
            <w:proofErr w:type="spellStart"/>
            <w:r w:rsidRPr="00BE05B7">
              <w:rPr>
                <w:rFonts w:ascii="Cambria" w:hAnsi="Cambria" w:cs="Tahoma"/>
                <w:b/>
                <w:bCs/>
                <w:sz w:val="21"/>
                <w:szCs w:val="21"/>
              </w:rPr>
              <w:t>Risdianto</w:t>
            </w:r>
            <w:proofErr w:type="spellEnd"/>
            <w:r w:rsidR="00DC488A">
              <w:rPr>
                <w:rFonts w:ascii="Cambria" w:eastAsia="Cambria" w:hAnsi="Cambria" w:cs="Cambria"/>
                <w:b/>
                <w:spacing w:val="-3"/>
                <w:sz w:val="21"/>
                <w:szCs w:val="21"/>
              </w:rPr>
              <w:t>*</w:t>
            </w:r>
          </w:p>
        </w:tc>
        <w:tc>
          <w:tcPr>
            <w:tcW w:w="3119" w:type="dxa"/>
            <w:tcBorders>
              <w:top w:val="nil"/>
              <w:left w:val="nil"/>
              <w:bottom w:val="nil"/>
              <w:right w:val="nil"/>
            </w:tcBorders>
          </w:tcPr>
          <w:p w14:paraId="2FBAA630" w14:textId="4E622502" w:rsidR="00DC488A" w:rsidRDefault="00BE05B7" w:rsidP="00DC488A">
            <w:pPr>
              <w:spacing w:before="80"/>
              <w:jc w:val="center"/>
              <w:rPr>
                <w:rFonts w:ascii="Cambria" w:eastAsia="Cambria" w:hAnsi="Cambria" w:cs="Cambria"/>
                <w:sz w:val="21"/>
                <w:szCs w:val="21"/>
              </w:rPr>
            </w:pPr>
            <w:r w:rsidRPr="00BE05B7">
              <w:rPr>
                <w:rFonts w:ascii="Cambria" w:hAnsi="Cambria" w:cs="Tahoma"/>
                <w:b/>
                <w:bCs/>
                <w:sz w:val="21"/>
                <w:szCs w:val="21"/>
              </w:rPr>
              <w:t xml:space="preserve">Rince Aida </w:t>
            </w:r>
            <w:proofErr w:type="spellStart"/>
            <w:r w:rsidRPr="00BE05B7">
              <w:rPr>
                <w:rFonts w:ascii="Cambria" w:hAnsi="Cambria" w:cs="Tahoma"/>
                <w:b/>
                <w:bCs/>
                <w:sz w:val="21"/>
                <w:szCs w:val="21"/>
              </w:rPr>
              <w:t>Rostika</w:t>
            </w:r>
            <w:proofErr w:type="spellEnd"/>
            <w:r>
              <w:rPr>
                <w:rFonts w:ascii="Cambria" w:eastAsia="Cambria" w:hAnsi="Cambria" w:cs="Cambria"/>
                <w:b/>
                <w:spacing w:val="-3"/>
                <w:sz w:val="21"/>
                <w:szCs w:val="21"/>
              </w:rPr>
              <w:t xml:space="preserve"> </w:t>
            </w:r>
          </w:p>
        </w:tc>
        <w:tc>
          <w:tcPr>
            <w:tcW w:w="3119" w:type="dxa"/>
            <w:tcBorders>
              <w:top w:val="nil"/>
              <w:left w:val="nil"/>
              <w:bottom w:val="nil"/>
              <w:right w:val="nil"/>
            </w:tcBorders>
          </w:tcPr>
          <w:p w14:paraId="26865AED" w14:textId="68C49378" w:rsidR="00DC488A" w:rsidRPr="00BE05B7" w:rsidRDefault="00BE05B7" w:rsidP="00DC488A">
            <w:pPr>
              <w:spacing w:before="80"/>
              <w:jc w:val="center"/>
              <w:rPr>
                <w:rFonts w:ascii="Cambria" w:eastAsia="Cambria" w:hAnsi="Cambria" w:cs="Cambria"/>
                <w:b/>
                <w:bCs/>
                <w:sz w:val="14"/>
                <w:szCs w:val="14"/>
              </w:rPr>
            </w:pPr>
            <w:r w:rsidRPr="00BE05B7">
              <w:rPr>
                <w:rFonts w:ascii="Cambria" w:hAnsi="Cambria" w:cs="Tahoma"/>
                <w:b/>
                <w:bCs/>
                <w:color w:val="222222"/>
                <w:sz w:val="21"/>
                <w:szCs w:val="21"/>
                <w:shd w:val="clear" w:color="auto" w:fill="FFFFFF"/>
              </w:rPr>
              <w:t xml:space="preserve">Ahmad </w:t>
            </w:r>
            <w:proofErr w:type="spellStart"/>
            <w:r w:rsidRPr="00BE05B7">
              <w:rPr>
                <w:rFonts w:ascii="Cambria" w:hAnsi="Cambria" w:cs="Tahoma"/>
                <w:b/>
                <w:bCs/>
                <w:color w:val="222222"/>
                <w:sz w:val="21"/>
                <w:szCs w:val="21"/>
                <w:shd w:val="clear" w:color="auto" w:fill="FFFFFF"/>
              </w:rPr>
              <w:t>Zabidi</w:t>
            </w:r>
            <w:proofErr w:type="spellEnd"/>
            <w:r w:rsidRPr="00BE05B7">
              <w:rPr>
                <w:rFonts w:ascii="Cambria" w:hAnsi="Cambria" w:cs="Tahoma"/>
                <w:b/>
                <w:bCs/>
                <w:color w:val="222222"/>
                <w:sz w:val="21"/>
                <w:szCs w:val="21"/>
                <w:shd w:val="clear" w:color="auto" w:fill="FFFFFF"/>
              </w:rPr>
              <w:t xml:space="preserve"> Abdul Razak</w:t>
            </w:r>
          </w:p>
        </w:tc>
      </w:tr>
      <w:tr w:rsidR="00DC488A" w14:paraId="6E5B4589" w14:textId="77777777" w:rsidTr="00DC488A">
        <w:trPr>
          <w:trHeight w:hRule="exact" w:val="460"/>
        </w:trPr>
        <w:tc>
          <w:tcPr>
            <w:tcW w:w="3118" w:type="dxa"/>
            <w:tcBorders>
              <w:top w:val="nil"/>
              <w:left w:val="nil"/>
              <w:bottom w:val="nil"/>
              <w:right w:val="nil"/>
            </w:tcBorders>
          </w:tcPr>
          <w:p w14:paraId="1ABC21BB" w14:textId="633B398E" w:rsidR="00DC488A" w:rsidRDefault="00DC488A"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niversi</w:t>
            </w:r>
            <w:r w:rsidR="00BE05B7">
              <w:rPr>
                <w:rFonts w:ascii="Cambria" w:eastAsia="Cambria" w:hAnsi="Cambria" w:cs="Cambria"/>
                <w:spacing w:val="-3"/>
                <w:sz w:val="15"/>
                <w:szCs w:val="15"/>
              </w:rPr>
              <w:t>tas Bengkulu</w:t>
            </w:r>
          </w:p>
          <w:p w14:paraId="3EA05673" w14:textId="13CF70EE" w:rsidR="00DC488A" w:rsidRDefault="00BE05B7"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Indonesia</w:t>
            </w:r>
          </w:p>
        </w:tc>
        <w:tc>
          <w:tcPr>
            <w:tcW w:w="3119" w:type="dxa"/>
            <w:tcBorders>
              <w:top w:val="nil"/>
              <w:left w:val="nil"/>
              <w:bottom w:val="nil"/>
              <w:right w:val="nil"/>
            </w:tcBorders>
          </w:tcPr>
          <w:p w14:paraId="486C438A" w14:textId="2F8F1A13" w:rsidR="00DC488A" w:rsidRDefault="00DC488A"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w:t>
            </w:r>
            <w:r w:rsidR="00BE05B7">
              <w:rPr>
                <w:rFonts w:ascii="Cambria" w:eastAsia="Cambria" w:hAnsi="Cambria" w:cs="Cambria"/>
                <w:spacing w:val="-3"/>
                <w:sz w:val="15"/>
                <w:szCs w:val="15"/>
              </w:rPr>
              <w:t>iversitas Bengkulu</w:t>
            </w:r>
          </w:p>
          <w:p w14:paraId="282144C8" w14:textId="3FFAF493" w:rsidR="00DC488A" w:rsidRDefault="00BE05B7"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Indonesia</w:t>
            </w:r>
          </w:p>
        </w:tc>
        <w:tc>
          <w:tcPr>
            <w:tcW w:w="3119" w:type="dxa"/>
            <w:tcBorders>
              <w:top w:val="nil"/>
              <w:left w:val="nil"/>
              <w:bottom w:val="nil"/>
              <w:right w:val="nil"/>
            </w:tcBorders>
          </w:tcPr>
          <w:p w14:paraId="3A1AEE86" w14:textId="50094282" w:rsidR="00DC488A" w:rsidRDefault="00BE05B7" w:rsidP="00DC488A">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University of Malaya</w:t>
            </w:r>
          </w:p>
          <w:p w14:paraId="1F587FAE" w14:textId="47E8E656" w:rsidR="00DC488A" w:rsidRDefault="00BE05B7" w:rsidP="00DC488A">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Malaysia</w:t>
            </w:r>
          </w:p>
        </w:tc>
      </w:tr>
      <w:tr w:rsidR="00BE05B7" w14:paraId="18F092FC" w14:textId="77777777" w:rsidTr="00236530">
        <w:trPr>
          <w:trHeight w:hRule="exact" w:val="340"/>
        </w:trPr>
        <w:tc>
          <w:tcPr>
            <w:tcW w:w="3118" w:type="dxa"/>
            <w:tcBorders>
              <w:top w:val="nil"/>
              <w:left w:val="nil"/>
              <w:bottom w:val="nil"/>
              <w:right w:val="nil"/>
            </w:tcBorders>
          </w:tcPr>
          <w:p w14:paraId="203310ED" w14:textId="200B01DE" w:rsidR="00BE05B7" w:rsidRPr="00DC488A" w:rsidRDefault="00BE05B7" w:rsidP="00236530">
            <w:pPr>
              <w:spacing w:before="80"/>
              <w:jc w:val="center"/>
              <w:rPr>
                <w:rFonts w:ascii="Cambria" w:eastAsia="Cambria" w:hAnsi="Cambria" w:cs="Cambria"/>
                <w:sz w:val="21"/>
                <w:szCs w:val="21"/>
              </w:rPr>
            </w:pPr>
            <w:r>
              <w:rPr>
                <w:rFonts w:ascii="Cambria" w:hAnsi="Cambria" w:cs="Tahoma"/>
                <w:b/>
                <w:bCs/>
                <w:sz w:val="21"/>
                <w:szCs w:val="21"/>
              </w:rPr>
              <w:t>Hera Anis Kartika</w:t>
            </w:r>
          </w:p>
        </w:tc>
        <w:tc>
          <w:tcPr>
            <w:tcW w:w="3119" w:type="dxa"/>
            <w:tcBorders>
              <w:top w:val="nil"/>
              <w:left w:val="nil"/>
              <w:bottom w:val="nil"/>
              <w:right w:val="nil"/>
            </w:tcBorders>
          </w:tcPr>
          <w:p w14:paraId="621D295D" w14:textId="5F94865E" w:rsidR="00BE05B7" w:rsidRPr="00976EE9" w:rsidRDefault="00976EE9" w:rsidP="00236530">
            <w:pPr>
              <w:spacing w:before="80"/>
              <w:jc w:val="center"/>
              <w:rPr>
                <w:rFonts w:ascii="Cambria" w:eastAsia="Cambria" w:hAnsi="Cambria" w:cs="Cambria"/>
                <w:b/>
                <w:bCs/>
                <w:sz w:val="21"/>
                <w:szCs w:val="21"/>
              </w:rPr>
            </w:pPr>
            <w:r w:rsidRPr="00976EE9">
              <w:rPr>
                <w:rFonts w:ascii="Cambria" w:eastAsia="Cambria" w:hAnsi="Cambria" w:cs="Cambria"/>
                <w:b/>
                <w:bCs/>
                <w:sz w:val="21"/>
                <w:szCs w:val="21"/>
              </w:rPr>
              <w:t>Jeni Fitria</w:t>
            </w:r>
          </w:p>
        </w:tc>
        <w:tc>
          <w:tcPr>
            <w:tcW w:w="3119" w:type="dxa"/>
            <w:tcBorders>
              <w:top w:val="nil"/>
              <w:left w:val="nil"/>
              <w:bottom w:val="nil"/>
              <w:right w:val="nil"/>
            </w:tcBorders>
          </w:tcPr>
          <w:p w14:paraId="13C8C9C0" w14:textId="788E31E8" w:rsidR="00BE05B7" w:rsidRPr="00BE05B7" w:rsidRDefault="00BE05B7" w:rsidP="00236530">
            <w:pPr>
              <w:spacing w:before="80"/>
              <w:jc w:val="center"/>
              <w:rPr>
                <w:rFonts w:ascii="Cambria" w:eastAsia="Cambria" w:hAnsi="Cambria" w:cs="Cambria"/>
                <w:b/>
                <w:bCs/>
                <w:sz w:val="14"/>
                <w:szCs w:val="14"/>
              </w:rPr>
            </w:pPr>
          </w:p>
        </w:tc>
      </w:tr>
      <w:tr w:rsidR="00BE05B7" w14:paraId="3B948A04" w14:textId="77777777" w:rsidTr="00236530">
        <w:trPr>
          <w:trHeight w:hRule="exact" w:val="460"/>
        </w:trPr>
        <w:tc>
          <w:tcPr>
            <w:tcW w:w="3118" w:type="dxa"/>
            <w:tcBorders>
              <w:top w:val="nil"/>
              <w:left w:val="nil"/>
              <w:bottom w:val="nil"/>
              <w:right w:val="nil"/>
            </w:tcBorders>
          </w:tcPr>
          <w:p w14:paraId="604384EB" w14:textId="770F15BA" w:rsidR="00BE05B7" w:rsidRDefault="00BE05B7" w:rsidP="00236530">
            <w:pPr>
              <w:spacing w:before="8" w:line="245" w:lineRule="auto"/>
              <w:jc w:val="center"/>
              <w:rPr>
                <w:rFonts w:ascii="Cambria" w:eastAsia="Cambria" w:hAnsi="Cambria" w:cs="Cambria"/>
                <w:spacing w:val="2"/>
                <w:sz w:val="15"/>
                <w:szCs w:val="15"/>
              </w:rPr>
            </w:pPr>
            <w:r>
              <w:rPr>
                <w:rFonts w:ascii="Cambria" w:eastAsia="Cambria" w:hAnsi="Cambria" w:cs="Cambria"/>
                <w:spacing w:val="-5"/>
                <w:sz w:val="15"/>
                <w:szCs w:val="15"/>
              </w:rPr>
              <w:t>U</w:t>
            </w:r>
            <w:r>
              <w:rPr>
                <w:rFonts w:ascii="Cambria" w:eastAsia="Cambria" w:hAnsi="Cambria" w:cs="Cambria"/>
                <w:spacing w:val="-3"/>
                <w:sz w:val="15"/>
                <w:szCs w:val="15"/>
              </w:rPr>
              <w:t>niversitas Bengkulu</w:t>
            </w: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194F0E21" w14:textId="4E3EDDE2" w:rsidR="00BE05B7" w:rsidRDefault="00BE05B7" w:rsidP="00236530">
            <w:pPr>
              <w:spacing w:before="8" w:line="245" w:lineRule="auto"/>
              <w:jc w:val="center"/>
              <w:rPr>
                <w:rFonts w:ascii="Cambria" w:eastAsia="Cambria" w:hAnsi="Cambria" w:cs="Cambria"/>
                <w:sz w:val="15"/>
                <w:szCs w:val="15"/>
              </w:rPr>
            </w:pPr>
            <w:r>
              <w:rPr>
                <w:rFonts w:ascii="Cambria" w:eastAsia="Cambria" w:hAnsi="Cambria" w:cs="Cambria"/>
                <w:spacing w:val="2"/>
                <w:sz w:val="15"/>
                <w:szCs w:val="15"/>
              </w:rPr>
              <w:t>Indonesia</w:t>
            </w:r>
          </w:p>
        </w:tc>
        <w:tc>
          <w:tcPr>
            <w:tcW w:w="3119" w:type="dxa"/>
            <w:tcBorders>
              <w:top w:val="nil"/>
              <w:left w:val="nil"/>
              <w:bottom w:val="nil"/>
              <w:right w:val="nil"/>
            </w:tcBorders>
          </w:tcPr>
          <w:p w14:paraId="08DDCAE7" w14:textId="1D27107E" w:rsidR="00BE05B7" w:rsidRDefault="00976EE9" w:rsidP="00236530">
            <w:pPr>
              <w:spacing w:before="8" w:line="245" w:lineRule="auto"/>
              <w:jc w:val="center"/>
              <w:rPr>
                <w:rFonts w:ascii="Cambria" w:eastAsia="Cambria" w:hAnsi="Cambria" w:cs="Cambria"/>
                <w:spacing w:val="2"/>
                <w:sz w:val="15"/>
                <w:szCs w:val="15"/>
              </w:rPr>
            </w:pPr>
            <w:r>
              <w:rPr>
                <w:rFonts w:ascii="Cambria" w:eastAsia="Cambria" w:hAnsi="Cambria" w:cs="Cambria"/>
                <w:spacing w:val="2"/>
                <w:sz w:val="15"/>
                <w:szCs w:val="15"/>
              </w:rPr>
              <w:t>Universitas Bengkulu</w:t>
            </w:r>
          </w:p>
          <w:p w14:paraId="3FBDBB43" w14:textId="1BB53305" w:rsidR="00BE05B7" w:rsidRDefault="00976EE9" w:rsidP="00236530">
            <w:pPr>
              <w:spacing w:before="8" w:line="245" w:lineRule="auto"/>
              <w:jc w:val="center"/>
              <w:rPr>
                <w:rFonts w:ascii="Cambria" w:eastAsia="Cambria" w:hAnsi="Cambria" w:cs="Cambria"/>
                <w:sz w:val="15"/>
                <w:szCs w:val="15"/>
              </w:rPr>
            </w:pPr>
            <w:r>
              <w:rPr>
                <w:rFonts w:ascii="Cambria" w:eastAsia="Cambria" w:hAnsi="Cambria" w:cs="Cambria"/>
                <w:sz w:val="15"/>
                <w:szCs w:val="15"/>
              </w:rPr>
              <w:t>Indonesia</w:t>
            </w:r>
          </w:p>
        </w:tc>
        <w:tc>
          <w:tcPr>
            <w:tcW w:w="3119" w:type="dxa"/>
            <w:tcBorders>
              <w:top w:val="nil"/>
              <w:left w:val="nil"/>
              <w:bottom w:val="nil"/>
              <w:right w:val="nil"/>
            </w:tcBorders>
          </w:tcPr>
          <w:p w14:paraId="6CC5CDC8" w14:textId="6F44DDE0" w:rsidR="00BE05B7" w:rsidRDefault="00BE05B7" w:rsidP="00236530">
            <w:pPr>
              <w:spacing w:before="8" w:line="245" w:lineRule="auto"/>
              <w:jc w:val="center"/>
              <w:rPr>
                <w:rFonts w:ascii="Cambria" w:eastAsia="Cambria" w:hAnsi="Cambria" w:cs="Cambria"/>
                <w:spacing w:val="2"/>
                <w:sz w:val="15"/>
                <w:szCs w:val="15"/>
              </w:rPr>
            </w:pPr>
            <w:r>
              <w:rPr>
                <w:rFonts w:ascii="Cambria" w:eastAsia="Cambria" w:hAnsi="Cambria" w:cs="Cambria"/>
                <w:sz w:val="15"/>
                <w:szCs w:val="15"/>
              </w:rPr>
              <w:t xml:space="preserve">  </w:t>
            </w:r>
            <w:r>
              <w:rPr>
                <w:rFonts w:ascii="Cambria" w:eastAsia="Cambria" w:hAnsi="Cambria" w:cs="Cambria"/>
                <w:spacing w:val="2"/>
                <w:sz w:val="15"/>
                <w:szCs w:val="15"/>
              </w:rPr>
              <w:t xml:space="preserve"> </w:t>
            </w:r>
          </w:p>
          <w:p w14:paraId="7B7466B1" w14:textId="126DBC1F" w:rsidR="00BE05B7" w:rsidRDefault="00BE05B7" w:rsidP="00BE05B7">
            <w:pPr>
              <w:spacing w:before="8" w:line="245" w:lineRule="auto"/>
              <w:rPr>
                <w:rFonts w:ascii="Cambria" w:eastAsia="Cambria" w:hAnsi="Cambria" w:cs="Cambria"/>
                <w:sz w:val="15"/>
                <w:szCs w:val="15"/>
              </w:rPr>
            </w:pPr>
          </w:p>
        </w:tc>
      </w:tr>
    </w:tbl>
    <w:p w14:paraId="6069D4BE" w14:textId="5CABB172" w:rsidR="00A01DAD" w:rsidRDefault="00A01DAD" w:rsidP="00BE05B7">
      <w:pPr>
        <w:rPr>
          <w:rFonts w:ascii="Cambria" w:hAnsi="Cambria"/>
        </w:rPr>
      </w:pPr>
    </w:p>
    <w:p w14:paraId="10C096FA" w14:textId="77777777" w:rsidR="005A61E1" w:rsidRPr="00B66BA4" w:rsidRDefault="005A61E1" w:rsidP="00755763">
      <w:pPr>
        <w:jc w:val="center"/>
        <w:rPr>
          <w:rFonts w:ascii="Cambria" w:hAnsi="Cambria"/>
        </w:rPr>
      </w:pPr>
    </w:p>
    <w:tbl>
      <w:tblPr>
        <w:tblStyle w:val="TableGrid"/>
        <w:tblW w:w="9356" w:type="dxa"/>
        <w:tblInd w:w="108" w:type="dxa"/>
        <w:tblLayout w:type="fixed"/>
        <w:tblLook w:val="04A0" w:firstRow="1" w:lastRow="0" w:firstColumn="1" w:lastColumn="0" w:noHBand="0" w:noVBand="1"/>
      </w:tblPr>
      <w:tblGrid>
        <w:gridCol w:w="2592"/>
        <w:gridCol w:w="385"/>
        <w:gridCol w:w="6379"/>
      </w:tblGrid>
      <w:tr w:rsidR="00A01DAD" w:rsidRPr="005A61E1" w14:paraId="3730A22B" w14:textId="77777777" w:rsidTr="00164EF0">
        <w:tc>
          <w:tcPr>
            <w:tcW w:w="2592" w:type="dxa"/>
            <w:tcBorders>
              <w:top w:val="single" w:sz="4" w:space="0" w:color="auto"/>
              <w:left w:val="nil"/>
              <w:bottom w:val="single" w:sz="4" w:space="0" w:color="auto"/>
              <w:right w:val="nil"/>
            </w:tcBorders>
          </w:tcPr>
          <w:p w14:paraId="6F6CF844" w14:textId="1F814C69" w:rsidR="00A01DAD" w:rsidRPr="005A61E1" w:rsidRDefault="00A01DAD" w:rsidP="00755763">
            <w:pPr>
              <w:jc w:val="both"/>
              <w:rPr>
                <w:rFonts w:ascii="Cambria" w:hAnsi="Cambria"/>
                <w:b/>
                <w:sz w:val="18"/>
                <w:szCs w:val="18"/>
              </w:rPr>
            </w:pPr>
            <w:r w:rsidRPr="005A61E1">
              <w:rPr>
                <w:rFonts w:ascii="Cambria" w:hAnsi="Cambria"/>
                <w:b/>
                <w:sz w:val="18"/>
                <w:szCs w:val="18"/>
              </w:rPr>
              <w:t xml:space="preserve">Article Info </w:t>
            </w:r>
          </w:p>
        </w:tc>
        <w:tc>
          <w:tcPr>
            <w:tcW w:w="385" w:type="dxa"/>
            <w:tcBorders>
              <w:top w:val="single" w:sz="4" w:space="0" w:color="auto"/>
              <w:left w:val="nil"/>
              <w:bottom w:val="nil"/>
              <w:right w:val="nil"/>
            </w:tcBorders>
          </w:tcPr>
          <w:p w14:paraId="427D4562" w14:textId="77777777" w:rsidR="00A01DAD" w:rsidRPr="005A61E1" w:rsidRDefault="00A01DAD" w:rsidP="00755763">
            <w:pPr>
              <w:jc w:val="center"/>
              <w:rPr>
                <w:rFonts w:ascii="Cambria" w:hAnsi="Cambria"/>
                <w:sz w:val="18"/>
                <w:szCs w:val="18"/>
              </w:rPr>
            </w:pPr>
          </w:p>
        </w:tc>
        <w:tc>
          <w:tcPr>
            <w:tcW w:w="6379" w:type="dxa"/>
            <w:tcBorders>
              <w:top w:val="single" w:sz="4" w:space="0" w:color="auto"/>
              <w:left w:val="nil"/>
              <w:bottom w:val="single" w:sz="4" w:space="0" w:color="auto"/>
              <w:right w:val="nil"/>
            </w:tcBorders>
          </w:tcPr>
          <w:p w14:paraId="5ADBA408" w14:textId="4156B9EB" w:rsidR="00A01DAD" w:rsidRPr="005A61E1" w:rsidRDefault="008406D3" w:rsidP="00755763">
            <w:pPr>
              <w:rPr>
                <w:rFonts w:ascii="Cambria" w:hAnsi="Cambria"/>
                <w:color w:val="000000"/>
                <w:sz w:val="18"/>
                <w:szCs w:val="18"/>
              </w:rPr>
            </w:pPr>
            <w:r w:rsidRPr="005A61E1">
              <w:rPr>
                <w:rFonts w:ascii="Cambria" w:hAnsi="Cambria"/>
                <w:b/>
                <w:bCs/>
                <w:iCs/>
                <w:sz w:val="18"/>
                <w:szCs w:val="18"/>
              </w:rPr>
              <w:t xml:space="preserve">Abstract </w:t>
            </w:r>
          </w:p>
        </w:tc>
      </w:tr>
      <w:tr w:rsidR="00A5426A" w:rsidRPr="005A61E1" w14:paraId="7D8D12C7" w14:textId="77777777" w:rsidTr="00754671">
        <w:trPr>
          <w:trHeight w:val="1268"/>
        </w:trPr>
        <w:tc>
          <w:tcPr>
            <w:tcW w:w="2592" w:type="dxa"/>
            <w:tcBorders>
              <w:top w:val="single" w:sz="4" w:space="0" w:color="auto"/>
              <w:left w:val="nil"/>
              <w:bottom w:val="single" w:sz="4" w:space="0" w:color="auto"/>
              <w:right w:val="nil"/>
            </w:tcBorders>
          </w:tcPr>
          <w:p w14:paraId="24528754" w14:textId="77777777" w:rsidR="00A5426A" w:rsidRPr="005A61E1" w:rsidRDefault="00A5426A" w:rsidP="008406D3">
            <w:pPr>
              <w:jc w:val="both"/>
              <w:rPr>
                <w:rFonts w:ascii="Cambria" w:hAnsi="Cambria"/>
                <w:b/>
                <w:i/>
                <w:sz w:val="18"/>
                <w:szCs w:val="18"/>
              </w:rPr>
            </w:pPr>
          </w:p>
          <w:p w14:paraId="05B8D9D0" w14:textId="2E7F9E73" w:rsidR="00A5426A" w:rsidRPr="002F6BE9" w:rsidRDefault="00A5426A" w:rsidP="002F6BE9">
            <w:pPr>
              <w:spacing w:after="120"/>
              <w:jc w:val="both"/>
              <w:rPr>
                <w:rFonts w:ascii="Cambria" w:hAnsi="Cambria"/>
                <w:b/>
                <w:i/>
                <w:sz w:val="18"/>
                <w:szCs w:val="18"/>
              </w:rPr>
            </w:pPr>
            <w:r w:rsidRPr="005A61E1">
              <w:rPr>
                <w:rFonts w:ascii="Cambria" w:hAnsi="Cambria"/>
                <w:b/>
                <w:i/>
                <w:sz w:val="18"/>
                <w:szCs w:val="18"/>
              </w:rPr>
              <w:t>Article history:</w:t>
            </w:r>
          </w:p>
          <w:p w14:paraId="6A6AA1C2" w14:textId="66B69682" w:rsidR="00A5426A" w:rsidRPr="005A61E1" w:rsidRDefault="00A5426A" w:rsidP="00755763">
            <w:pPr>
              <w:jc w:val="both"/>
              <w:rPr>
                <w:rFonts w:ascii="Cambria" w:hAnsi="Cambria"/>
                <w:sz w:val="18"/>
                <w:szCs w:val="18"/>
              </w:rPr>
            </w:pPr>
            <w:r w:rsidRPr="005A61E1">
              <w:rPr>
                <w:rFonts w:ascii="Cambria" w:hAnsi="Cambria"/>
                <w:sz w:val="18"/>
                <w:szCs w:val="18"/>
              </w:rPr>
              <w:t>Received: Month XX, 20XX</w:t>
            </w:r>
          </w:p>
          <w:p w14:paraId="17CC8B30" w14:textId="6D5747DB" w:rsidR="00A5426A" w:rsidRPr="005A61E1" w:rsidRDefault="00A5426A" w:rsidP="00755763">
            <w:pPr>
              <w:jc w:val="both"/>
              <w:rPr>
                <w:rFonts w:ascii="Cambria" w:hAnsi="Cambria"/>
                <w:sz w:val="18"/>
                <w:szCs w:val="18"/>
              </w:rPr>
            </w:pPr>
            <w:r>
              <w:rPr>
                <w:rFonts w:ascii="Cambria" w:hAnsi="Cambria"/>
                <w:sz w:val="18"/>
                <w:szCs w:val="18"/>
              </w:rPr>
              <w:t>Revised</w:t>
            </w:r>
            <w:r w:rsidRPr="005A61E1">
              <w:rPr>
                <w:rFonts w:ascii="Cambria" w:hAnsi="Cambria"/>
                <w:sz w:val="18"/>
                <w:szCs w:val="18"/>
              </w:rPr>
              <w:t>: Month XX, 20XX</w:t>
            </w:r>
          </w:p>
          <w:p w14:paraId="1D045FA5" w14:textId="31B0D90C" w:rsidR="00A5426A" w:rsidRPr="005A61E1" w:rsidRDefault="00A5426A" w:rsidP="00755763">
            <w:pPr>
              <w:jc w:val="both"/>
              <w:rPr>
                <w:rFonts w:ascii="Cambria" w:hAnsi="Cambria"/>
                <w:sz w:val="18"/>
                <w:szCs w:val="18"/>
              </w:rPr>
            </w:pPr>
            <w:r>
              <w:rPr>
                <w:rFonts w:ascii="Cambria" w:hAnsi="Cambria"/>
                <w:sz w:val="18"/>
                <w:szCs w:val="18"/>
              </w:rPr>
              <w:t>Accepted</w:t>
            </w:r>
            <w:r w:rsidRPr="005A61E1">
              <w:rPr>
                <w:rFonts w:ascii="Cambria" w:hAnsi="Cambria"/>
                <w:sz w:val="18"/>
                <w:szCs w:val="18"/>
              </w:rPr>
              <w:t>: Month XX, 20XX</w:t>
            </w:r>
          </w:p>
          <w:p w14:paraId="4BD6010D" w14:textId="3998C6F4" w:rsidR="00A5426A" w:rsidRPr="005A61E1" w:rsidRDefault="00A5426A" w:rsidP="006654C5">
            <w:pPr>
              <w:jc w:val="both"/>
              <w:rPr>
                <w:rFonts w:ascii="Cambria" w:hAnsi="Cambria"/>
                <w:sz w:val="18"/>
                <w:szCs w:val="18"/>
              </w:rPr>
            </w:pPr>
            <w:r w:rsidRPr="005A61E1">
              <w:rPr>
                <w:rFonts w:ascii="Cambria" w:hAnsi="Cambria"/>
                <w:sz w:val="18"/>
                <w:szCs w:val="18"/>
              </w:rPr>
              <w:t>(</w:t>
            </w:r>
            <w:r>
              <w:rPr>
                <w:rFonts w:ascii="Cambria" w:hAnsi="Cambria"/>
                <w:sz w:val="18"/>
                <w:szCs w:val="18"/>
              </w:rPr>
              <w:t>Cambria</w:t>
            </w:r>
            <w:r w:rsidRPr="005A61E1">
              <w:rPr>
                <w:rFonts w:ascii="Cambria" w:hAnsi="Cambria"/>
                <w:sz w:val="18"/>
                <w:szCs w:val="18"/>
              </w:rPr>
              <w:t xml:space="preserve"> </w:t>
            </w:r>
            <w:r>
              <w:rPr>
                <w:rFonts w:ascii="Cambria" w:hAnsi="Cambria"/>
                <w:sz w:val="18"/>
                <w:szCs w:val="18"/>
              </w:rPr>
              <w:t>9</w:t>
            </w:r>
            <w:r w:rsidRPr="005A61E1">
              <w:rPr>
                <w:rFonts w:ascii="Cambria" w:hAnsi="Cambria"/>
                <w:sz w:val="18"/>
                <w:szCs w:val="18"/>
              </w:rPr>
              <w:t>)</w:t>
            </w:r>
          </w:p>
        </w:tc>
        <w:tc>
          <w:tcPr>
            <w:tcW w:w="385" w:type="dxa"/>
            <w:vMerge w:val="restart"/>
            <w:tcBorders>
              <w:top w:val="nil"/>
              <w:left w:val="nil"/>
              <w:bottom w:val="nil"/>
              <w:right w:val="nil"/>
            </w:tcBorders>
          </w:tcPr>
          <w:p w14:paraId="6BF32DD5" w14:textId="77777777" w:rsidR="00A5426A" w:rsidRPr="005A61E1" w:rsidRDefault="00A5426A" w:rsidP="00755763">
            <w:pPr>
              <w:jc w:val="both"/>
              <w:rPr>
                <w:rFonts w:ascii="Cambria" w:hAnsi="Cambria"/>
                <w:sz w:val="18"/>
                <w:szCs w:val="18"/>
              </w:rPr>
            </w:pPr>
          </w:p>
        </w:tc>
        <w:tc>
          <w:tcPr>
            <w:tcW w:w="6379" w:type="dxa"/>
            <w:vMerge w:val="restart"/>
            <w:tcBorders>
              <w:top w:val="single" w:sz="4" w:space="0" w:color="auto"/>
              <w:left w:val="nil"/>
              <w:right w:val="nil"/>
            </w:tcBorders>
          </w:tcPr>
          <w:p w14:paraId="6B32239C" w14:textId="3B792D70" w:rsidR="00A5426A" w:rsidRPr="00BE05B7" w:rsidRDefault="00BE05B7" w:rsidP="00BE05B7">
            <w:pPr>
              <w:pStyle w:val="Heading4"/>
              <w:jc w:val="both"/>
              <w:rPr>
                <w:rFonts w:ascii="Cambria" w:hAnsi="Cambria" w:cs="Tahoma"/>
                <w:i w:val="0"/>
                <w:iCs w:val="0"/>
                <w:color w:val="000000" w:themeColor="text1"/>
                <w:sz w:val="18"/>
                <w:szCs w:val="18"/>
              </w:rPr>
            </w:pPr>
            <w:r w:rsidRPr="00BE05B7">
              <w:rPr>
                <w:rFonts w:ascii="Cambria" w:hAnsi="Cambria" w:cs="Tahoma"/>
                <w:i w:val="0"/>
                <w:iCs w:val="0"/>
                <w:color w:val="000000" w:themeColor="text1"/>
                <w:sz w:val="18"/>
                <w:szCs w:val="18"/>
              </w:rPr>
              <w:t xml:space="preserve">The application of Artificial Intelligence (AI) in educational assessment holds significant </w:t>
            </w:r>
            <w:r w:rsidRPr="00BE05B7">
              <w:rPr>
                <w:rFonts w:ascii="Cambria" w:hAnsi="Cambria" w:cs="Tahoma"/>
                <w:b/>
                <w:bCs/>
                <w:i w:val="0"/>
                <w:iCs w:val="0"/>
                <w:color w:val="000000" w:themeColor="text1"/>
                <w:sz w:val="18"/>
                <w:szCs w:val="18"/>
              </w:rPr>
              <w:t>importance</w:t>
            </w:r>
            <w:r w:rsidRPr="00BE05B7">
              <w:rPr>
                <w:rFonts w:ascii="Cambria" w:hAnsi="Cambria" w:cs="Tahoma"/>
                <w:i w:val="0"/>
                <w:iCs w:val="0"/>
                <w:color w:val="000000" w:themeColor="text1"/>
                <w:sz w:val="18"/>
                <w:szCs w:val="18"/>
              </w:rPr>
              <w:t xml:space="preserve"> for optimizing learning processes. However, a critical </w:t>
            </w:r>
            <w:r w:rsidRPr="00BE05B7">
              <w:rPr>
                <w:rFonts w:ascii="Cambria" w:hAnsi="Cambria" w:cs="Tahoma"/>
                <w:b/>
                <w:bCs/>
                <w:i w:val="0"/>
                <w:iCs w:val="0"/>
                <w:color w:val="000000" w:themeColor="text1"/>
                <w:sz w:val="18"/>
                <w:szCs w:val="18"/>
              </w:rPr>
              <w:t>gap</w:t>
            </w:r>
            <w:r w:rsidRPr="00BE05B7">
              <w:rPr>
                <w:rFonts w:ascii="Cambria" w:hAnsi="Cambria" w:cs="Tahoma"/>
                <w:i w:val="0"/>
                <w:iCs w:val="0"/>
                <w:color w:val="000000" w:themeColor="text1"/>
                <w:sz w:val="18"/>
                <w:szCs w:val="18"/>
              </w:rPr>
              <w:t xml:space="preserve"> exists in the comprehensive understanding of algorithmic bias and its potential to undermine educational equity. This study employs a Systematic Literature Review (SLR) and bibliometric analysis of 121 articles from the Scopus database (2021-2025) to investigate trends, benefits, and biases associated with AI in grading </w:t>
            </w:r>
            <w:r w:rsidRPr="00BE05B7">
              <w:rPr>
                <w:rFonts w:ascii="Cambria" w:hAnsi="Cambria" w:cs="Tahoma"/>
                <w:b/>
                <w:bCs/>
                <w:i w:val="0"/>
                <w:iCs w:val="0"/>
                <w:color w:val="000000" w:themeColor="text1"/>
                <w:sz w:val="18"/>
                <w:szCs w:val="18"/>
              </w:rPr>
              <w:t>methods</w:t>
            </w:r>
            <w:r w:rsidRPr="00BE05B7">
              <w:rPr>
                <w:rFonts w:ascii="Cambria" w:hAnsi="Cambria" w:cs="Tahoma"/>
                <w:i w:val="0"/>
                <w:iCs w:val="0"/>
                <w:color w:val="000000" w:themeColor="text1"/>
                <w:sz w:val="18"/>
                <w:szCs w:val="18"/>
              </w:rPr>
              <w:t xml:space="preserve">. The </w:t>
            </w:r>
            <w:r w:rsidRPr="00BE05B7">
              <w:rPr>
                <w:rFonts w:ascii="Cambria" w:hAnsi="Cambria" w:cs="Tahoma"/>
                <w:b/>
                <w:bCs/>
                <w:i w:val="0"/>
                <w:iCs w:val="0"/>
                <w:color w:val="000000" w:themeColor="text1"/>
                <w:sz w:val="18"/>
                <w:szCs w:val="18"/>
              </w:rPr>
              <w:t>results</w:t>
            </w:r>
            <w:r w:rsidRPr="00BE05B7">
              <w:rPr>
                <w:rFonts w:ascii="Cambria" w:hAnsi="Cambria" w:cs="Tahoma"/>
                <w:i w:val="0"/>
                <w:iCs w:val="0"/>
                <w:color w:val="000000" w:themeColor="text1"/>
                <w:sz w:val="18"/>
                <w:szCs w:val="18"/>
              </w:rPr>
              <w:t xml:space="preserve"> reveal a substantial increase in publications since 2018, with a primary focus on machine learning, automated grading, and AI in education. The analysis also indicates that while AI enhances assessment efficiency and consistency, it introduces the risk of bias stemming from non-diverse training data, developer prejudice, and socio-cultural factors, potentially disadvantaging marginalized students. In </w:t>
            </w:r>
            <w:r w:rsidRPr="00BE05B7">
              <w:rPr>
                <w:rFonts w:ascii="Cambria" w:hAnsi="Cambria" w:cs="Tahoma"/>
                <w:b/>
                <w:bCs/>
                <w:i w:val="0"/>
                <w:iCs w:val="0"/>
                <w:color w:val="000000" w:themeColor="text1"/>
                <w:sz w:val="18"/>
                <w:szCs w:val="18"/>
              </w:rPr>
              <w:t>conclusion</w:t>
            </w:r>
            <w:r w:rsidRPr="00BE05B7">
              <w:rPr>
                <w:rFonts w:ascii="Cambria" w:hAnsi="Cambria" w:cs="Tahoma"/>
                <w:i w:val="0"/>
                <w:iCs w:val="0"/>
                <w:color w:val="000000" w:themeColor="text1"/>
                <w:sz w:val="18"/>
                <w:szCs w:val="18"/>
              </w:rPr>
              <w:t>, this research underscores the urgent need for ethical guidelines, algorithmic transparency, and educator training to mitigate bias. These findings provide a foundation for the development of fair and inclusive AI assessment systems and direct future research towards cross-cultural validation and the integration of fair AI principles.</w:t>
            </w:r>
          </w:p>
        </w:tc>
      </w:tr>
      <w:tr w:rsidR="00A5426A" w:rsidRPr="005A61E1" w14:paraId="05452568" w14:textId="77777777" w:rsidTr="00754671">
        <w:trPr>
          <w:trHeight w:val="2230"/>
        </w:trPr>
        <w:tc>
          <w:tcPr>
            <w:tcW w:w="2592" w:type="dxa"/>
            <w:tcBorders>
              <w:top w:val="single" w:sz="4" w:space="0" w:color="auto"/>
              <w:left w:val="nil"/>
              <w:bottom w:val="single" w:sz="4" w:space="0" w:color="auto"/>
              <w:right w:val="nil"/>
            </w:tcBorders>
          </w:tcPr>
          <w:p w14:paraId="3247976B" w14:textId="77777777" w:rsidR="00A5426A" w:rsidRPr="005A61E1" w:rsidRDefault="00A5426A" w:rsidP="008406D3">
            <w:pPr>
              <w:jc w:val="both"/>
              <w:rPr>
                <w:rFonts w:ascii="Cambria" w:hAnsi="Cambria"/>
                <w:b/>
                <w:i/>
                <w:sz w:val="18"/>
                <w:szCs w:val="18"/>
              </w:rPr>
            </w:pPr>
          </w:p>
          <w:p w14:paraId="281646EB" w14:textId="71325083" w:rsidR="00A5426A" w:rsidRPr="005A61E1" w:rsidRDefault="00A5426A" w:rsidP="00755763">
            <w:pPr>
              <w:spacing w:after="120"/>
              <w:jc w:val="both"/>
              <w:rPr>
                <w:rFonts w:ascii="Cambria" w:hAnsi="Cambria"/>
                <w:b/>
                <w:i/>
                <w:sz w:val="18"/>
                <w:szCs w:val="18"/>
              </w:rPr>
            </w:pPr>
            <w:r w:rsidRPr="005A61E1">
              <w:rPr>
                <w:rFonts w:ascii="Cambria" w:hAnsi="Cambria"/>
                <w:b/>
                <w:i/>
                <w:sz w:val="18"/>
                <w:szCs w:val="18"/>
              </w:rPr>
              <w:t>Keywords:</w:t>
            </w:r>
          </w:p>
          <w:p w14:paraId="5DA025D5" w14:textId="7B091877" w:rsidR="00BE05B7" w:rsidRDefault="00BE05B7" w:rsidP="00755763">
            <w:pPr>
              <w:jc w:val="both"/>
              <w:rPr>
                <w:rFonts w:ascii="Cambria" w:hAnsi="Cambria" w:cs="Tahoma"/>
                <w:sz w:val="18"/>
                <w:szCs w:val="18"/>
              </w:rPr>
            </w:pPr>
            <w:r w:rsidRPr="00BE05B7">
              <w:rPr>
                <w:rFonts w:ascii="Cambria" w:hAnsi="Cambria" w:cs="Tahoma"/>
                <w:sz w:val="18"/>
                <w:szCs w:val="18"/>
              </w:rPr>
              <w:t>AI in Education</w:t>
            </w:r>
          </w:p>
          <w:p w14:paraId="4009C5B4" w14:textId="77777777" w:rsidR="00BE05B7" w:rsidRDefault="00BE05B7" w:rsidP="00755763">
            <w:pPr>
              <w:jc w:val="both"/>
              <w:rPr>
                <w:rFonts w:ascii="Cambria" w:hAnsi="Cambria" w:cs="Tahoma"/>
                <w:sz w:val="18"/>
                <w:szCs w:val="18"/>
              </w:rPr>
            </w:pPr>
            <w:r w:rsidRPr="00BE05B7">
              <w:rPr>
                <w:rFonts w:ascii="Cambria" w:hAnsi="Cambria" w:cs="Tahoma"/>
                <w:sz w:val="18"/>
                <w:szCs w:val="18"/>
              </w:rPr>
              <w:t>Artificial Intelligence</w:t>
            </w:r>
          </w:p>
          <w:p w14:paraId="1154AF98" w14:textId="77777777" w:rsidR="00BE05B7" w:rsidRDefault="00BE05B7" w:rsidP="00755763">
            <w:pPr>
              <w:jc w:val="both"/>
              <w:rPr>
                <w:rFonts w:ascii="Cambria" w:hAnsi="Cambria" w:cs="Tahoma"/>
                <w:sz w:val="18"/>
                <w:szCs w:val="18"/>
              </w:rPr>
            </w:pPr>
            <w:r w:rsidRPr="00BE05B7">
              <w:rPr>
                <w:rFonts w:ascii="Cambria" w:hAnsi="Cambria" w:cs="Tahoma"/>
                <w:sz w:val="18"/>
                <w:szCs w:val="18"/>
              </w:rPr>
              <w:t>Automated Assessment</w:t>
            </w:r>
          </w:p>
          <w:p w14:paraId="1B2162BB" w14:textId="77777777" w:rsidR="00BE05B7" w:rsidRDefault="00BE05B7" w:rsidP="00755763">
            <w:pPr>
              <w:jc w:val="both"/>
              <w:rPr>
                <w:rFonts w:ascii="Cambria" w:hAnsi="Cambria" w:cs="Tahoma"/>
                <w:sz w:val="18"/>
                <w:szCs w:val="18"/>
              </w:rPr>
            </w:pPr>
            <w:r w:rsidRPr="00BE05B7">
              <w:rPr>
                <w:rFonts w:ascii="Cambria" w:hAnsi="Cambria" w:cs="Tahoma"/>
                <w:sz w:val="18"/>
                <w:szCs w:val="18"/>
              </w:rPr>
              <w:t>Bibliometric</w:t>
            </w:r>
          </w:p>
          <w:p w14:paraId="7CEB46A4" w14:textId="6AD55BCD" w:rsidR="00BE05B7" w:rsidRPr="00BE05B7" w:rsidRDefault="00BE05B7" w:rsidP="00755763">
            <w:pPr>
              <w:jc w:val="both"/>
              <w:rPr>
                <w:rFonts w:ascii="Cambria" w:hAnsi="Cambria"/>
                <w:sz w:val="14"/>
                <w:szCs w:val="14"/>
              </w:rPr>
            </w:pPr>
            <w:r w:rsidRPr="00BE05B7">
              <w:rPr>
                <w:rFonts w:ascii="Cambria" w:hAnsi="Cambria" w:cs="Tahoma"/>
                <w:sz w:val="18"/>
                <w:szCs w:val="18"/>
              </w:rPr>
              <w:t>Systematic Literature Review</w:t>
            </w:r>
            <w:r w:rsidRPr="00BE05B7">
              <w:rPr>
                <w:rFonts w:ascii="Cambria" w:hAnsi="Cambria"/>
                <w:sz w:val="14"/>
                <w:szCs w:val="14"/>
              </w:rPr>
              <w:t xml:space="preserve"> </w:t>
            </w:r>
          </w:p>
          <w:p w14:paraId="737140D2" w14:textId="01E922AC" w:rsidR="00A5426A" w:rsidRPr="005A61E1" w:rsidRDefault="00A5426A" w:rsidP="00BE05B7">
            <w:pPr>
              <w:jc w:val="both"/>
              <w:rPr>
                <w:rFonts w:ascii="Cambria" w:hAnsi="Cambria"/>
                <w:sz w:val="18"/>
                <w:szCs w:val="18"/>
              </w:rPr>
            </w:pPr>
          </w:p>
        </w:tc>
        <w:tc>
          <w:tcPr>
            <w:tcW w:w="385" w:type="dxa"/>
            <w:vMerge/>
            <w:tcBorders>
              <w:top w:val="nil"/>
              <w:left w:val="nil"/>
              <w:bottom w:val="single" w:sz="4" w:space="0" w:color="auto"/>
              <w:right w:val="nil"/>
            </w:tcBorders>
          </w:tcPr>
          <w:p w14:paraId="5AD0B737" w14:textId="77777777" w:rsidR="00A5426A" w:rsidRPr="005A61E1" w:rsidRDefault="00A5426A" w:rsidP="00755763">
            <w:pPr>
              <w:jc w:val="both"/>
              <w:rPr>
                <w:rFonts w:ascii="Cambria" w:hAnsi="Cambria"/>
                <w:sz w:val="18"/>
                <w:szCs w:val="18"/>
              </w:rPr>
            </w:pPr>
          </w:p>
        </w:tc>
        <w:tc>
          <w:tcPr>
            <w:tcW w:w="6379" w:type="dxa"/>
            <w:vMerge/>
            <w:tcBorders>
              <w:left w:val="nil"/>
              <w:bottom w:val="single" w:sz="4" w:space="0" w:color="auto"/>
              <w:right w:val="nil"/>
            </w:tcBorders>
          </w:tcPr>
          <w:p w14:paraId="1411ADCC" w14:textId="77777777" w:rsidR="00A5426A" w:rsidRPr="005A61E1" w:rsidRDefault="00A5426A" w:rsidP="00755763">
            <w:pPr>
              <w:jc w:val="both"/>
              <w:rPr>
                <w:rFonts w:ascii="Cambria" w:hAnsi="Cambria"/>
                <w:iCs/>
                <w:color w:val="000000"/>
                <w:sz w:val="18"/>
                <w:szCs w:val="18"/>
              </w:rPr>
            </w:pPr>
          </w:p>
        </w:tc>
      </w:tr>
      <w:tr w:rsidR="00A01DAD" w:rsidRPr="005A61E1" w14:paraId="67F255E6" w14:textId="77777777" w:rsidTr="002F6BE9">
        <w:trPr>
          <w:trHeight w:val="73"/>
        </w:trPr>
        <w:tc>
          <w:tcPr>
            <w:tcW w:w="9356" w:type="dxa"/>
            <w:gridSpan w:val="3"/>
            <w:tcBorders>
              <w:top w:val="single" w:sz="4" w:space="0" w:color="auto"/>
              <w:left w:val="nil"/>
              <w:bottom w:val="single" w:sz="4" w:space="0" w:color="auto"/>
              <w:right w:val="nil"/>
            </w:tcBorders>
          </w:tcPr>
          <w:p w14:paraId="6F6A9C12" w14:textId="2B0F8F6F" w:rsidR="00A01DAD" w:rsidRPr="002F6BE9" w:rsidRDefault="002F6BE9" w:rsidP="00913E00">
            <w:pPr>
              <w:jc w:val="both"/>
              <w:rPr>
                <w:rFonts w:ascii="Cambria" w:hAnsi="Cambria"/>
                <w:iCs/>
                <w:sz w:val="18"/>
                <w:szCs w:val="18"/>
              </w:rPr>
            </w:pPr>
            <w:r>
              <w:rPr>
                <w:rFonts w:ascii="Cambria" w:hAnsi="Cambria"/>
                <w:b/>
                <w:iCs/>
                <w:sz w:val="18"/>
                <w:szCs w:val="18"/>
              </w:rPr>
              <w:t xml:space="preserve">To cite this article: </w:t>
            </w:r>
            <w:r>
              <w:rPr>
                <w:rFonts w:ascii="Cambria" w:hAnsi="Cambria"/>
                <w:iCs/>
                <w:sz w:val="18"/>
                <w:szCs w:val="18"/>
              </w:rPr>
              <w:t xml:space="preserve">Author. (20XX). Title. </w:t>
            </w:r>
            <w:r w:rsidRPr="002F6BE9">
              <w:rPr>
                <w:rFonts w:ascii="Cambria" w:hAnsi="Cambria"/>
                <w:i/>
                <w:iCs/>
                <w:sz w:val="18"/>
                <w:szCs w:val="18"/>
              </w:rPr>
              <w:t>Online Learning in Educational Research</w:t>
            </w:r>
            <w:r>
              <w:rPr>
                <w:rFonts w:ascii="Cambria" w:hAnsi="Cambria"/>
                <w:i/>
                <w:iCs/>
                <w:sz w:val="18"/>
                <w:szCs w:val="18"/>
              </w:rPr>
              <w:t>, X</w:t>
            </w:r>
            <w:r w:rsidRPr="002F6BE9">
              <w:rPr>
                <w:rFonts w:ascii="Cambria" w:hAnsi="Cambria"/>
                <w:iCs/>
                <w:sz w:val="18"/>
                <w:szCs w:val="18"/>
              </w:rPr>
              <w:t>(X), XX-XX</w:t>
            </w:r>
          </w:p>
        </w:tc>
      </w:tr>
    </w:tbl>
    <w:p w14:paraId="41C34312" w14:textId="31E890D7" w:rsidR="00A01DAD" w:rsidRPr="00913E00" w:rsidRDefault="00A01DAD" w:rsidP="00913E00">
      <w:pPr>
        <w:jc w:val="center"/>
        <w:rPr>
          <w:rFonts w:ascii="Cambria" w:hAnsi="Cambria"/>
          <w:sz w:val="18"/>
          <w:szCs w:val="22"/>
        </w:rPr>
      </w:pPr>
    </w:p>
    <w:p w14:paraId="082592C8" w14:textId="247CB84F" w:rsidR="00F42600" w:rsidRPr="00913E00" w:rsidRDefault="00F42600" w:rsidP="00913E00">
      <w:pPr>
        <w:rPr>
          <w:rFonts w:ascii="Cambria" w:hAnsi="Cambria"/>
          <w:color w:val="000000"/>
          <w:sz w:val="22"/>
          <w:szCs w:val="22"/>
          <w:lang w:val="fi-FI"/>
        </w:rPr>
      </w:pPr>
    </w:p>
    <w:p w14:paraId="458595D9" w14:textId="77777777" w:rsidR="00913E00" w:rsidRPr="00913E00" w:rsidRDefault="00913E00" w:rsidP="00913E00">
      <w:pPr>
        <w:rPr>
          <w:rFonts w:ascii="Cambria" w:hAnsi="Cambria"/>
          <w:color w:val="000000"/>
          <w:sz w:val="22"/>
          <w:szCs w:val="22"/>
          <w:lang w:val="fi-FI"/>
        </w:rPr>
      </w:pPr>
    </w:p>
    <w:p w14:paraId="3E8791A1" w14:textId="5210D3F6" w:rsidR="005A61E1" w:rsidRPr="00DC488A" w:rsidRDefault="005A61E1" w:rsidP="00DC488A">
      <w:pPr>
        <w:autoSpaceDE w:val="0"/>
        <w:spacing w:after="120"/>
        <w:jc w:val="center"/>
        <w:rPr>
          <w:rFonts w:ascii="Cambria" w:hAnsi="Cambria"/>
          <w:b/>
          <w:bCs/>
          <w:color w:val="000000"/>
          <w:sz w:val="22"/>
          <w:szCs w:val="22"/>
        </w:rPr>
      </w:pPr>
      <w:r w:rsidRPr="00DC488A">
        <w:rPr>
          <w:rFonts w:ascii="Cambria" w:hAnsi="Cambria"/>
          <w:b/>
          <w:bCs/>
          <w:color w:val="000000"/>
          <w:sz w:val="22"/>
          <w:szCs w:val="22"/>
        </w:rPr>
        <w:t>INTRODUCTION</w:t>
      </w:r>
    </w:p>
    <w:p w14:paraId="3D8F140B" w14:textId="7EC57135" w:rsidR="00D629C9" w:rsidRPr="00D629C9"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The development of artificial intelligence (AI) technology in various domains has markedly transformed many sectors, with education standing out as one of the most affected</w:t>
      </w:r>
      <w:r w:rsidR="00D10010">
        <w:rPr>
          <w:rFonts w:ascii="Cambria" w:hAnsi="Cambria" w:cs="Tahoma"/>
          <w:spacing w:val="1"/>
          <w:sz w:val="22"/>
          <w:szCs w:val="22"/>
          <w:shd w:val="clear" w:color="auto" w:fill="FFFFFF"/>
          <w:lang w:eastAsia="en-ID"/>
        </w:rPr>
        <w:t xml:space="preserve"> </w:t>
      </w:r>
      <w:r w:rsidR="00D10010">
        <w:rPr>
          <w:rFonts w:ascii="Cambria" w:hAnsi="Cambria" w:cs="Tahoma"/>
          <w:spacing w:val="1"/>
          <w:sz w:val="22"/>
          <w:szCs w:val="22"/>
          <w:shd w:val="clear" w:color="auto" w:fill="FFFFFF"/>
          <w:lang w:eastAsia="en-ID"/>
        </w:rPr>
        <w:fldChar w:fldCharType="begin" w:fldLock="1"/>
      </w:r>
      <w:r w:rsidR="00D10010">
        <w:rPr>
          <w:rFonts w:ascii="Cambria" w:hAnsi="Cambria" w:cs="Tahoma"/>
          <w:spacing w:val="1"/>
          <w:sz w:val="22"/>
          <w:szCs w:val="22"/>
          <w:shd w:val="clear" w:color="auto" w:fill="FFFFFF"/>
          <w:lang w:eastAsia="en-ID"/>
        </w:rPr>
        <w:instrText>ADDIN CSL_CITATION {"citationItems":[{"id":"ITEM-1","itemData":{"DOI":"10.3390/su151612451","ISSN":"20711050","abstract":"The recent high performance of ChatGPT on several standardized academic tests has thrust the topic of artificial intelligence (AI) into the mainstream conversation about the future of education. As deep learning is poised to shift the teaching paradigm, it is essential to have a clear understanding of its effects on the current education system to ensure sustainable development and deployment of AI-driven technologies at schools and universities. This research aims to investigate the potential impact of AI on education through review and analysis of the existing literature across three major axes: applications, advantages, and challenges. Our review focuses on the use of artificial intelligence in collaborative teacher–student learning, intelligent tutoring systems, automated assessment, and personalized learning. We also report on the potential negative aspects, ethical issues, and possible future routes for AI implementation in education. Ultimately, we find that the only way forward is to embrace the new technology, while implementing guardrails to prevent its abuse.","author":[{"dropping-particle":"","family":"Kamalov","given":"Firuz","non-dropping-particle":"","parse-names":false,"suffix":""},{"dropping-particle":"","family":"Santandreu Calonge","given":"David","non-dropping-particle":"","parse-names":false,"suffix":""},{"dropping-particle":"","family":"Gurrib","given":"Ikhlaas","non-dropping-particle":"","parse-names":false,"suffix":""}],"container-title":"Sustainability (Switzerland)","id":"ITEM-1","issue":"16","issued":{"date-parts":[["2023"]]},"page":"1-27","title":"New Era of Artificial Intelligence in Education: Towards a Sustainable Multifaceted Revolution","type":"article-journal","volume":"15"},"uris":["http://www.mendeley.com/documents/?uuid=90ce79c6-a2f1-460c-b4e0-990746619860"]}],"mendeley":{"formattedCitation":"(Kamalov et al., 2023)","plainTextFormattedCitation":"(Kamalov et al., 2023)"},"properties":{"noteIndex":0},"schema":"https://github.com/citation-style-language/schema/raw/master/csl-citation.json"}</w:instrText>
      </w:r>
      <w:r w:rsidR="00D10010">
        <w:rPr>
          <w:rFonts w:ascii="Cambria" w:hAnsi="Cambria" w:cs="Tahoma"/>
          <w:spacing w:val="1"/>
          <w:sz w:val="22"/>
          <w:szCs w:val="22"/>
          <w:shd w:val="clear" w:color="auto" w:fill="FFFFFF"/>
          <w:lang w:eastAsia="en-ID"/>
        </w:rPr>
        <w:fldChar w:fldCharType="separate"/>
      </w:r>
      <w:r w:rsidR="00D10010" w:rsidRPr="00D10010">
        <w:rPr>
          <w:rFonts w:ascii="Cambria" w:hAnsi="Cambria" w:cs="Tahoma"/>
          <w:noProof/>
          <w:spacing w:val="1"/>
          <w:sz w:val="22"/>
          <w:szCs w:val="22"/>
          <w:shd w:val="clear" w:color="auto" w:fill="FFFFFF"/>
          <w:lang w:eastAsia="en-ID"/>
        </w:rPr>
        <w:t>(Kamalov et al., 2023)</w:t>
      </w:r>
      <w:r w:rsidR="00D10010">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This evolution facilitates innovative teaching and learning methodologies and promotes an individualized educational experience, thereby improving the overall quality of education</w:t>
      </w:r>
      <w:r w:rsidR="00B604EC">
        <w:rPr>
          <w:rFonts w:ascii="Cambria" w:hAnsi="Cambria" w:cs="Tahoma"/>
          <w:spacing w:val="1"/>
          <w:sz w:val="22"/>
          <w:szCs w:val="22"/>
          <w:shd w:val="clear" w:color="auto" w:fill="FFFFFF"/>
          <w:lang w:eastAsia="en-ID"/>
        </w:rPr>
        <w:t xml:space="preserve"> </w:t>
      </w:r>
      <w:r w:rsidR="00B604EC">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{"citationItems":[{"id":"ITEM-1","itemData":{"DOI":"10.3390/educsci15030343","ISSN":"22277102","abstract":"The integration of Artificial Intelligence (AI) in education has transformed academic learning, offering both opportunities and challenges for students’ development. This study investigates the impact of AI technologies on students’ learning processes and academic performance, with a focus on their perceptions and the challenges associated with AI adoption. Conducted at the National University of Science and Technology POLITEHNICA Bucharest, this research involved second-year students who had direct experience with AI-enhanced learning environments. Using purposive sampling, 85 participants were selected to ensure relevance. Data were collected through a structured questionnaire comprising 11 items as follows: seven closed-ended questions assessing perceptions, usage, and the effectiveness of AI tools; and four open-ended questions exploring experiences, expectations, and concerns. Quantitative data were analyzed using frequency and percentage calculations, while qualitative responses were subjected to thematic analysis, incorporating both vertical (individual responses) and horizontal (cross-dataset) approaches to ensure comprehensive theme identification. The findings reveal that AI offers significant benefits, including personalized learning, improved academic outcomes, and enhanced student engagement. However, challenges such as over-reliance on AI, diminished critical thinking skills, data privacy risks, and academic dishonesty were also identified. The study underscores the necessity of a structured framework for AI integration, supported by ethical guidelines, to maximize benefits while mitigating risks. In conclusion, while AI holds immense potential to enhance learning efficiency and academic performance, its successful implementation requires addressing concerns related to accuracy, cognitive disengagement, and ethical implications. A balanced approach is essential to ensure equitable, effective, and responsible learning experiences in AI-enhanced educational environments.","author":[{"dropping-particle":"","family":"Vieriu","given":"Aniella Mihaela","non-dropping-particle":"","parse-names":false,"suffix":""},{"dropping-particle":"","family":"Petrea","given":"Gabriel","non-dropping-particle":"","parse-names":false,"suffix":""}],"container-title":"Education Sciences","id":"ITEM-1","issue":"3","issued":{"date-parts":[["2025"]]},"page":"1-12","title":"The Impact of Artificial Intelligence (AI) on Students’ Academic Development","type":"article-journal","volume":"15"},"uris":["http://www.mendeley.com/documents/?uuid=667debd3-003f-4301-a5f7-a836ad04647e"]}],"mendeley":{"formattedCitation":"(Vieriu &amp; Petrea, 2025)","plainTextFormattedCitation":"(Vieriu &amp; Petrea, 2025)","previouslyFormattedCitation":"(Vieriu &amp; Petrea, 2025)"},"properties":{"noteIndex":0},"schema":"https://github.com/citation-style-language/schema/raw/master/csl-citation.json"}</w:instrText>
      </w:r>
      <w:r w:rsidR="00B604EC">
        <w:rPr>
          <w:rFonts w:ascii="Cambria" w:hAnsi="Cambria" w:cs="Tahoma"/>
          <w:spacing w:val="1"/>
          <w:sz w:val="22"/>
          <w:szCs w:val="22"/>
          <w:shd w:val="clear" w:color="auto" w:fill="FFFFFF"/>
          <w:lang w:eastAsia="en-ID"/>
        </w:rPr>
        <w:fldChar w:fldCharType="separate"/>
      </w:r>
      <w:r w:rsidR="00B604EC" w:rsidRPr="00B604EC">
        <w:rPr>
          <w:rFonts w:ascii="Cambria" w:hAnsi="Cambria" w:cs="Tahoma"/>
          <w:noProof/>
          <w:spacing w:val="1"/>
          <w:sz w:val="22"/>
          <w:szCs w:val="22"/>
          <w:shd w:val="clear" w:color="auto" w:fill="FFFFFF"/>
          <w:lang w:eastAsia="en-ID"/>
        </w:rPr>
        <w:t>(Vieriu &amp; Petrea, 2025)</w:t>
      </w:r>
      <w:r w:rsidR="00B604EC">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The application of AI in education has resulted in significant advances in student engagement, personalized learning, and instructional support, supported by an ever-growing body of research</w:t>
      </w:r>
      <w:r w:rsidR="00B604EC">
        <w:rPr>
          <w:rFonts w:ascii="Cambria" w:hAnsi="Cambria" w:cs="Tahoma"/>
          <w:spacing w:val="1"/>
          <w:sz w:val="22"/>
          <w:szCs w:val="22"/>
          <w:shd w:val="clear" w:color="auto" w:fill="FFFFFF"/>
          <w:lang w:eastAsia="en-ID"/>
        </w:rPr>
        <w:t xml:space="preserve"> </w:t>
      </w:r>
      <w:r w:rsidR="00B604EC">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{"citationItems":[{"id":"ITEM-1","itemData":{"DOI":"10.1016/j.caeai.2022.100076","ISSN":"2666920X","abstract":"In this paper, we present the concept of AI Readiness, along with a framework for developing AI Readiness training. ‘AI Readiness’ can be framed as a contextualised way of helping people to understand AI, in particular, data-driven AI. The nature of AI Readiness training is not the same as merely learning about AI. Rather, AI Readiness recognises the diversity of the professions, workplaces and sectors for whom AI has a potential impact. For example, AI Readiness for lawyers may be based on the same principles as AI Readiness for Educators. However, the details will be contextualised differently. AI Readiness recognises that such contextualisation is not an option: it is essential due to the multiple intricacies, sensitivities and variations between different sectors and their settings, which all impact the application of AI. To embrace such contextualisation, AI Readiness needs to be an active, participatory training process and aims to empower people to be more able to leverage AI to meet their needs. The text that follows focuses on AI Readiness within the Education and Training sector and starts with a discussion of the current state of AI within education and training, and the need for AI Readiness. We then problematize the concept of AI Readiness, why AI Readiness is needed, and what it means. We expand upon the nature of AI Readiness through a discussion of the difference between human and Artificial Intelligence, before presenting a 7-step framework for helping people to become AI Ready. Finally, we use an example of AI Readiness in action within Higher Education to exemplify AI Readiness.","author":[{"dropping-particle":"","family":"Luckin","given":"Rosemary","non-dropping-particle":"","parse-names":false,"suffix":""},{"dropping-particle":"","family":"Cukurova","given":"Mutlu","non-dropping-particle":"","parse-names":false,"suffix":""},{"dropping-particle":"","family":"Kent","given":"Carmel","non-dropping-particle":"","parse-names":false,"suffix":""},{"dropping-particle":"","family":"Boulay","given":"Benedict","non-dropping-particle":"du","parse-names":false,"suffix":""}],"container-title":"Computers and Education: Artificial Intelligence","id":"ITEM-1","issued":{"date-parts":[["2022"]]},"page":"100076","publisher":"Elsevier Ltd","title":"Empowering educators to be AI-ready","type":"article-journal","volume":"3"},"uris":["http://www.mendeley.com/documents/?uuid=1910e1a1-5386-4fbe-a32d-8f08c3461bb1"]}],"mendeley":{"formattedCitation":"(Luckin et al., 2022)","plainTextFormattedCitation":"(Luckin et al., 2022)","previouslyFormattedCitation":"(Luckin et al., 2022)"},"properties":{"noteIndex":0},"schema":"https://github.com/citation-style-language/schema/raw/master/csl-citation.json"}</w:instrText>
      </w:r>
      <w:r w:rsidR="00B604EC">
        <w:rPr>
          <w:rFonts w:ascii="Cambria" w:hAnsi="Cambria" w:cs="Tahoma"/>
          <w:spacing w:val="1"/>
          <w:sz w:val="22"/>
          <w:szCs w:val="22"/>
          <w:shd w:val="clear" w:color="auto" w:fill="FFFFFF"/>
          <w:lang w:eastAsia="en-ID"/>
        </w:rPr>
        <w:fldChar w:fldCharType="separate"/>
      </w:r>
      <w:r w:rsidR="00B604EC" w:rsidRPr="00B604EC">
        <w:rPr>
          <w:rFonts w:ascii="Cambria" w:hAnsi="Cambria" w:cs="Tahoma"/>
          <w:noProof/>
          <w:spacing w:val="1"/>
          <w:sz w:val="22"/>
          <w:szCs w:val="22"/>
          <w:shd w:val="clear" w:color="auto" w:fill="FFFFFF"/>
          <w:lang w:eastAsia="en-ID"/>
        </w:rPr>
        <w:t>(Luckin et al., 2022)</w:t>
      </w:r>
      <w:r w:rsidR="00B604EC">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w:t>
      </w:r>
      <w:r w:rsidR="00B604EC">
        <w:rPr>
          <w:rFonts w:ascii="Cambria" w:hAnsi="Cambria" w:cs="Tahoma"/>
          <w:spacing w:val="1"/>
          <w:sz w:val="22"/>
          <w:szCs w:val="22"/>
          <w:shd w:val="clear" w:color="auto" w:fill="FFFFFF"/>
          <w:lang w:eastAsia="en-ID"/>
        </w:rPr>
        <w:t xml:space="preserve"> </w:t>
      </w:r>
      <w:proofErr w:type="gramStart"/>
      <w:r w:rsidRPr="00D629C9">
        <w:rPr>
          <w:rFonts w:ascii="Cambria" w:hAnsi="Cambria" w:cs="Tahoma"/>
          <w:spacing w:val="1"/>
          <w:sz w:val="22"/>
          <w:szCs w:val="22"/>
          <w:shd w:val="clear" w:color="auto" w:fill="FFFFFF"/>
          <w:lang w:eastAsia="en-ID"/>
        </w:rPr>
        <w:t>The</w:t>
      </w:r>
      <w:proofErr w:type="gramEnd"/>
      <w:r w:rsidRPr="00D629C9">
        <w:rPr>
          <w:rFonts w:ascii="Cambria" w:hAnsi="Cambria" w:cs="Tahoma"/>
          <w:spacing w:val="1"/>
          <w:sz w:val="22"/>
          <w:szCs w:val="22"/>
          <w:shd w:val="clear" w:color="auto" w:fill="FFFFFF"/>
          <w:lang w:eastAsia="en-ID"/>
        </w:rPr>
        <w:t xml:space="preserve"> ability to personalize learning experiences is one of the key benefits of AI technology. In today's day and age, AI can be a helper for teachers and students in Education</w:t>
      </w:r>
      <w:r w:rsidR="00B604EC">
        <w:rPr>
          <w:rFonts w:ascii="Cambria" w:hAnsi="Cambria" w:cs="Tahoma"/>
          <w:spacing w:val="1"/>
          <w:sz w:val="22"/>
          <w:szCs w:val="22"/>
          <w:shd w:val="clear" w:color="auto" w:fill="FFFFFF"/>
          <w:lang w:eastAsia="en-ID"/>
        </w:rPr>
        <w:t xml:space="preserve"> </w:t>
      </w:r>
      <w:r w:rsidR="00B604EC">
        <w:rPr>
          <w:rFonts w:ascii="Cambria" w:hAnsi="Cambria" w:cs="Tahoma"/>
          <w:spacing w:val="1"/>
          <w:sz w:val="22"/>
          <w:szCs w:val="22"/>
          <w:shd w:val="clear" w:color="auto" w:fill="FFFFFF"/>
          <w:lang w:eastAsia="en-ID"/>
        </w:rPr>
        <w:fldChar w:fldCharType="begin" w:fldLock="1"/>
      </w:r>
      <w:r w:rsidR="000531FB">
        <w:rPr>
          <w:rFonts w:ascii="Cambria" w:hAnsi="Cambria" w:cs="Tahoma"/>
          <w:spacing w:val="1"/>
          <w:sz w:val="22"/>
          <w:szCs w:val="22"/>
          <w:shd w:val="clear" w:color="auto" w:fill="FFFFFF"/>
          <w:lang w:eastAsia="en-ID"/>
        </w:rPr>
        <w:instrText>ADDIN CSL_CITATION {"citationItems":[{"id":"ITEM-1","itemData":{"DOI":"10.35445/alishlah.v16i2.4784","ISSN":"2087-9490","abstract":"The development of AI technology has opened new opportunities for the delivery and reception of education. Therefore, a profound understanding related to students' perspectives, expectations, and concerns regarding the utilization of AI in the learning process becomes a crucial aspect. This study explores the perceptions of university students in Indonesia towards the use of Artificial Intelligence (AI) in education. A quantitative descriptive survey was conducted involving 200 students from the Faculty of Teacher Training and Education at Bengkulu University. The instrument used is a student perception scale about AI adapted from Buabbas et al. (2023). Data analysis used descriptive analysis and Chi-Square test. The findings indicate that most students have a positive view of the use of AI in learning, seeing it as a tool that can enrich their learning experience and increase access to educational resources. However, concerns were also raised about the replacement of teachers' roles by AI, the loss of human elements in learning interactions, and data privacy issues. The study concludes that while AI has great potential to transform education, a careful, human-centered approach that involves the active role of teachers and safeguards students' privacy and data security is necessary. Further research is recommended to provide more comprehensive information about the impacts and benefits of the emergence of AI in education.","author":[{"dropping-particle":"","family":"Herawati","given":"Anna Ayu","non-dropping-particle":"","parse-names":false,"suffix":""},{"dropping-particle":"","family":"Yusuf","given":"Syamsu","non-dropping-particle":"","parse-names":false,"suffix":""},{"dropping-particle":"","family":"Ilfiandra","given":"Ilfiandra","non-dropping-particle":"","parse-names":false,"suffix":""},{"dropping-particle":"","family":"Taufik","given":"Agus","non-dropping-particle":"","parse-names":false,"suffix":""},{"dropping-particle":"","family":"Ya Habibi","given":"Ahmad Syaf","non-dropping-particle":"","parse-names":false,"suffix":""}],"container-title":"AL-ISHLAH: Jurnal Pendidikan","id":"ITEM-1","issue":"2","issued":{"date-parts":[["2024"]]},"page":"1029-1040","title":"Exploring the Role of Artificial Intelligence in Education, Students Preferences and Perceptions","type":"article-journal","volume":"16"},"uris":["http://www.mendeley.com/documents/?uuid=882c4793-a008-4d38-9e75-bdb067c6b337"]}],"mendeley":{"formattedCitation":"(Herawati et al., 2024)","plainTextFormattedCitation":"(Herawati et al., 2024)","previouslyFormattedCitation":"(Herawati et al., 2024)"},"properties":{"noteIndex":0},"schema":"https://github.com/citation-style-language/schema/raw/master/csl-citation.json"}</w:instrText>
      </w:r>
      <w:r w:rsidR="00B604EC">
        <w:rPr>
          <w:rFonts w:ascii="Cambria" w:hAnsi="Cambria" w:cs="Tahoma"/>
          <w:spacing w:val="1"/>
          <w:sz w:val="22"/>
          <w:szCs w:val="22"/>
          <w:shd w:val="clear" w:color="auto" w:fill="FFFFFF"/>
          <w:lang w:eastAsia="en-ID"/>
        </w:rPr>
        <w:fldChar w:fldCharType="separate"/>
      </w:r>
      <w:r w:rsidR="00B604EC" w:rsidRPr="00B604EC">
        <w:rPr>
          <w:rFonts w:ascii="Cambria" w:hAnsi="Cambria" w:cs="Tahoma"/>
          <w:noProof/>
          <w:spacing w:val="1"/>
          <w:sz w:val="22"/>
          <w:szCs w:val="22"/>
          <w:shd w:val="clear" w:color="auto" w:fill="FFFFFF"/>
          <w:lang w:eastAsia="en-ID"/>
        </w:rPr>
        <w:t>(Herawati et al., 2024)</w:t>
      </w:r>
      <w:r w:rsidR="00B604EC">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Where AI can assess the performance of individual students and adapt teaching materials to meet different learning needs.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{"citationItems":[{"id":"ITEM-1","itemData":{"DOI":"10.61838/kman.aitech.1.1.6","abstract":"This study aims to investigate teachers' attitudes towards AI in education, focusing on identifying the perceived benefits, challenges, and ethical considerations associated with AI integration into teaching and learning environments. Utilizing a qualitative research design, this study conducted semi-structured interviews with 28 educators from various educational levels and disciplines. Thematic analysis was employed to analyze the interview data, identifying key themes and concepts related to teachers' perspectives on AI in education. Four main themes were identified: Pedagogical Impacts, Ethical and Social Considerations, Technological Challenges and Opportunities, and Perceptions of AI in Education. Pedagogical Impacts encompassed enhancing learning outcomes, curriculum integration, and the evolving roles of teachers. Ethical and Social Considerations highlighted concerns over data privacy, bias, and equity. Technological Challenges and Opportunities discussed integration challenges and the future of educational technology. Lastly, Perceptions of AI in Education revealed varied attitudes, awareness levels, and perceived impacts on professional identity. Teachers recognize the transformative potential of AI in enhancing personalized learning and operational efficiency. However, concerns about ethical issues, technological infrastructure, and the need for professional development are significant. Addressing these concerns requires targeted efforts from policymakers, educational leaders, and technologists to foster a supportive environment for AI integration in education.","author":[{"dropping-particle":"","family":"Aghaziarati","given":"Ali","non-dropping-particle":"","parse-names":false,"suffix":""},{"dropping-particle":"","family":"Nejatifar","given":"Sara","non-dropping-particle":"","parse-names":false,"suffix":""},{"dropping-particle":"","family":"Abedi","given":"Ahmad","non-dropping-particle":"","parse-names":false,"suffix":""}],"container-title":"AI and Tech in Behavioral and Social Sciences","id":"ITEM-1","issue":"1","issued":{"date-parts":[["2023"]]},"page":"35-42","title":"Artificial Intelligence in Education: Investigating Teacher Attitudes","type":"article-journal","volume":"1"},"uris":["http://www.mendeley.com/documents/?uuid=7a039ef2-6311-4ae8-ac15-48ab0dbe8747"]}],"mendeley":{"formattedCitation":"(Aghaziarati et al., 2023)","plainTextFormattedCitation":"(Aghaziarati et al., 2023)","previouslyFormattedCitation":"(Aghaziarati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(Aghaziarati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In his research he said that an innovative solution to adjust learning paths, which can improve educational outcomes is AI technology. This personalized approach can make traditional teaching methods more effective. With AI technology, learning can adapt to the strengths and weaknesses of each student, so that the learning experience is more suited to their needs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{"citationItems":[{"id":"ITEM-1","itemData":{"DOI":"10.59453/xlud7002","abstract":"The use of AI-powered educational technologies (AI-EdTech) offers a range of advantages to students, instructors, and educational institutions. While much has been achieved, several challenges in managing the data underpinning AI-EdTech are limiting progress in the field. This paper outlines some of these challenges and argues that data management research has the potential to provide solutions that can enable responsible and effective learner-supporting, teacher-supporting, and institution-supporting AI-EdTech. Our hope is to establish a common ground for collaboration and to foster partnerships among educational experts, AI developers and data management researchers in order to respond effectively to the rapidly evolving global educational landscape and drive the development of AI-EdTech.","author":[{"dropping-particle":"","family":"Khosravi","given":"Hassan","non-dropping-particle":"","parse-names":false,"suffix":""},{"dropping-particle":"","family":"Sadiq","given":"Shazia","non-dropping-particle":"","parse-names":false,"suffix":""},{"dropping-particle":"","family":"Amer-Yahia","given":"Sihem","non-dropping-particle":"","parse-names":false,"suffix":""}],"container-title":"Journal of Learning Letters","id":"ITEM-1","issued":{"date-parts":[["2023"]]},"page":"1-11","title":"Data management of AI-powered education technologies: Challenges and opportunities","type":"article-journal","volume":"1"},"uris":["http://www.mendeley.com/documents/?uuid=52d6b583-fdc5-4a39-9302-f6f81174138a"]}],"mendeley":{"formattedCitation":"(Khosravi et al., 2023)","manualFormatting":"(Khosravi et al., 2023)","plainTextFormattedCitation":"(Khosravi et al., 2023)","previouslyFormattedCitation":"(Khosravi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(Khosravi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The more aware a teacher is about AI, the more likely they are to want to use this technology in the classroom.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{"citationItems":[{"id":"ITEM-1","itemData":{"DOI":"10.61838/kman.aitech.1.1.6","abstract":"This study aims to investigate teachers' attitudes towards AI in education, focusing on identifying the perceived benefits, challenges, and ethical considerations associated with AI integration into teaching and learning environments. Utilizing a qualitative research design, this study conducted semi-structured interviews with 28 educators from various educational levels and disciplines. Thematic analysis was employed to analyze the interview data, identifying key themes and concepts related to teachers' perspectives on AI in education. Four main themes were identified: Pedagogical Impacts, Ethical and Social Considerations, Technological Challenges and Opportunities, and Perceptions of AI in Education. Pedagogical Impacts encompassed enhancing learning outcomes, curriculum integration, and the evolving roles of teachers. Ethical and Social Considerations highlighted concerns over data privacy, bias, and equity. Technological Challenges and Opportunities discussed integration challenges and the future of educational technology. Lastly, Perceptions of AI in Education revealed varied attitudes, awareness levels, and perceived impacts on professional identity. Teachers recognize the transformative potential of AI in enhancing personalized learning and operational efficiency. However, concerns about ethical issues, technological infrastructure, and the need for professional development are significant. Addressing these concerns requires targeted efforts from policymakers, educational leaders, and technologists to foster a supportive environment for AI integration in education.","author":[{"dropping-particle":"","family":"Aghaziarati","given":"Ali","non-dropping-particle":"","parse-names":false,"suffix":""},{"dropping-particle":"","family":"Nejatifar","given":"Sara","non-dropping-particle":"","parse-names":false,"suffix":""},{"dropping-particle":"","family":"Abedi","given":"Ahmad","non-dropping-particle":"","parse-names":false,"suffix":""}],"container-title":"AI and Tech in Behavioral and Social Sciences","id":"ITEM-1","issue":"1","issued":{"date-parts":[["2023"]]},"page":"35-42","title":"Artificial Intelligence in Education: Investigating Teacher Attitudes","type":"article-journal","volume":"1"},"uris":["http://www.mendeley.com/documents/?uuid=7a039ef2-6311-4ae8-ac15-48ab0dbe8747"]}],"mendeley":{"formattedCitation":"(Aghaziarati et al., 2023)","plainTextFormattedCitation":"(Aghaziarati et al., 2023)","previouslyFormattedCitation":"(Aghaziarati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(Aghaziarati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w:t>
      </w:r>
    </w:p>
    <w:p w14:paraId="3500B693" w14:textId="473B56A1" w:rsidR="00D629C9" w:rsidRPr="00D629C9"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 xml:space="preserve">AI helps simplify the assessment process that would normally require a lot of effort and time. With this technology, schools and universities can automatically grade student assignments in large </w:t>
      </w:r>
      <w:r w:rsidRPr="00D629C9">
        <w:rPr>
          <w:rFonts w:ascii="Cambria" w:hAnsi="Cambria" w:cs="Tahoma"/>
          <w:spacing w:val="1"/>
          <w:sz w:val="22"/>
          <w:szCs w:val="22"/>
          <w:shd w:val="clear" w:color="auto" w:fill="FFFFFF"/>
          <w:lang w:eastAsia="en-ID"/>
        </w:rPr>
        <w:lastRenderedPageBreak/>
        <w:t xml:space="preserve">numbers, making them more efficient and providing faster feedback to students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{"citationItems":[{"id":"ITEM-1","itemData":{"DOI":"10.1186/s41239-023-00392-8","ISBN":"4123902300392","ISSN":"23659440","abstract":"This systematic review provides unique findings with an up-to-date examination of artificial intelligence (AI) in higher education (HE) from 2016 to 2022. Using PRISMA principles and protocol, 138 articles were identified for a full examination. Using a priori, and grounded coding, the data from the 138 articles were extracted, analyzed, and coded. The findings of this study show that in 2021 and 2022, publications rose nearly two to three times the number of previous years. With this rapid rise in the number of AIEd HE publications, new trends have emerged. The findings show that research was conducted in six of the seven continents of the world. The trend has shifted from the US to China leading in the number of publications. Another new trend is in the researcher affiliation as prior studies showed a lack of researchers from departments of education. This has now changed to be the most dominant department. Undergraduate students were the most studied students at 72%. Similar to the findings of other studies, language learning was the most common subject domain. This included writing, reading, and vocabulary acquisition. In examination of who the AIEd was intended for 72% of the studies focused on students, 17% instructors, and 11% managers. In answering the overarching question of how AIEd was used in HE, grounded coding was used. Five usage codes emerged from the data: (1) Assessment/Evaluation, (2) Predicting, (3) AI Assistant, (4) Intelligent Tutoring System (ITS), and (5) Managing Student Learning. This systematic review revealed gaps in the literature to be used as a springboard for future researchers, including new tools, such as Chat GPT.","author":[{"dropping-particle":"","family":"Crompton","given":"Helen","non-dropping-particle":"","parse-names":false,"suffix":""},{"dropping-particle":"","family":"Burke","given":"Diane","non-dropping-particle":"","parse-names":false,"suffix":""}],"container-title":"International Journal of Educational Technology in Higher Education","id":"ITEM-1","issue":"1","issued":{"date-parts":[["2023"]]},"publisher":"Springer International Publishing","title":"Artificial intelligence in higher education: the state of the field","type":"article-journal","volume":"20"},"uris":["http://www.mendeley.com/documents/?uuid=9cc4b3d6-9f62-47c1-a71e-804b295c2f29","http://www.mendeley.com/documents/?uuid=6fbcf645-064e-441c-832f-79c2a26f1692"]}],"mendeley":{"formattedCitation":"(Crompton &amp; Burke, 2023)","plainTextFormattedCitation":"(Crompton &amp; Burke, 2023)","previouslyFormattedCitation":"(Crompton &amp; Burke,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(Crompton &amp; Burke,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While AI can help with assessment, its use raises ethical and emotional concerns for students as well as </w:t>
      </w:r>
      <w:proofErr w:type="spellStart"/>
      <w:r w:rsidRPr="00D629C9">
        <w:rPr>
          <w:rFonts w:ascii="Cambria" w:hAnsi="Cambria" w:cs="Tahoma"/>
          <w:spacing w:val="1"/>
          <w:sz w:val="22"/>
          <w:szCs w:val="22"/>
          <w:shd w:val="clear" w:color="auto" w:fill="FFFFFF"/>
          <w:lang w:eastAsia="en-ID"/>
        </w:rPr>
        <w:t>teachers.many</w:t>
      </w:r>
      <w:proofErr w:type="spellEnd"/>
      <w:r w:rsidRPr="00D629C9">
        <w:rPr>
          <w:rFonts w:ascii="Cambria" w:hAnsi="Cambria" w:cs="Tahoma"/>
          <w:spacing w:val="1"/>
          <w:sz w:val="22"/>
          <w:szCs w:val="22"/>
          <w:shd w:val="clear" w:color="auto" w:fill="FFFFFF"/>
          <w:lang w:eastAsia="en-ID"/>
        </w:rPr>
        <w:t xml:space="preserve"> studies show that students feel uncomfortable if AI replaces traditional assessment methods, as they are worried that this technology cannot assess with the deep understanding that teachers do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{"citationItems":[{"id":"ITEM-1","itemData":{"DOI":"10.21608/erji.2023.306718","abstract":"Background: Artificial intelligence (AI) is rapidly evolving with the potential to revolutionize various aspects of healthcare. Despite the increasing use of AI in medicine, research on the knowledge and attitudes of medical students towards AI remains limited. Aim: This study aims to evaluate the level of knowledge and attitude towards AI and its use in medical education and future medical practice among Ain Shams University undergraduate medical students. Methods: A Cross-sectional study using a self-administered questionnaire. Results: A total of 410 medical students completed the questionnaire. The mean age of participating students was 19.7 ± 1.5, of which 56.1% were females. Students in the first and second years represented 75.3% of the total participating students. Most of the students demonstrated moderate (41.2%) to good (57.7%) knowledge and attitude regarding AI and its application in medical education, and similarly moderate (67.5%) to good (28.9%) knowledge and attitude regarding AI and its application in medical practice. Over 80% of students emphasized the need to integrate teaching about AI in their medical curricula and thought that AI will soon revolutionize education. In addition, over 85% showed enthusiasm to learn about the applications of AI in medicine. Conclusion: The findings from the current study highlight the crucial need for medical schools to adapt to the changing technology and ensure that future physicians are ready for these changes. Medical curricula must evolve to prepare students effectively by providing comprehensive knowledge and understanding of AI and its applications, ensuring students are well-prepared for their future careers.","author":[{"dropping-particle":"","family":"Khater","given":"Aya S.","non-dropping-particle":"","parse-names":false,"suffix":""},{"dropping-particle":"","family":"Zaaqoq","given":"Ayman A.","non-dropping-particle":"","parse-names":false,"suffix":""},{"dropping-particle":"","family":"Wahdan","given":"Maha M.","non-dropping-particle":"","parse-names":false,"suffix":""},{"dropping-particle":"","family":"Ashry","given":"Soha","non-dropping-particle":"","parse-names":false,"suffix":""}],"container-title":"Educational Research and Innovation Journal","id":"ITEM-1","issue":"10","issued":{"date-parts":[["2023"]]},"page":"29-42","title":"Knowledge and Attitude of Ain Shams University Medical Students towards Artificial Intelligence and its Application in Medical Education and Practice","type":"article-journal","volume":"3"},"uris":["http://www.mendeley.com/documents/?uuid=30e9cccb-1606-4194-82d6-71a6bfa38f03","http://www.mendeley.com/documents/?uuid=3cd812a9-4bf5-45f3-86ab-ee978d81a4d6"]}],"mendeley":{"formattedCitation":"(Khater et al., 2023)","plainTextFormattedCitation":"(Khater et al., 2023)","previouslyFormattedCitation":"(Khater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(Khater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In addition, relying too much on automated assessments can threaten academic </w:t>
      </w:r>
      <w:proofErr w:type="spellStart"/>
      <w:r w:rsidRPr="00D629C9">
        <w:rPr>
          <w:rFonts w:ascii="Cambria" w:hAnsi="Cambria" w:cs="Tahoma"/>
          <w:spacing w:val="1"/>
          <w:sz w:val="22"/>
          <w:szCs w:val="22"/>
          <w:shd w:val="clear" w:color="auto" w:fill="FFFFFF"/>
          <w:lang w:eastAsia="en-ID"/>
        </w:rPr>
        <w:t>integrity.this</w:t>
      </w:r>
      <w:proofErr w:type="spellEnd"/>
      <w:r w:rsidRPr="00D629C9">
        <w:rPr>
          <w:rFonts w:ascii="Cambria" w:hAnsi="Cambria" w:cs="Tahoma"/>
          <w:spacing w:val="1"/>
          <w:sz w:val="22"/>
          <w:szCs w:val="22"/>
          <w:shd w:val="clear" w:color="auto" w:fill="FFFFFF"/>
          <w:lang w:eastAsia="en-ID"/>
        </w:rPr>
        <w:t xml:space="preserve"> system risks causing grade inflation or misunderstanding of more complex student answers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{"citationItems":[{"id":"ITEM-1","itemData":{"DOI":"10.1007/s13347-021-00476-1","ISBN":"0123456789","ISSN":"22105441","abstract":"Online exam supervision technologies have recently generated significant controversy and concern. Their use is now booming due to growing demand for online courses and for off-campus assessment options amid COVID-19 lockdowns. Online proctoring technologies purport to effectively oversee students sitting online exams by using artificial intelligence (AI) systems supplemented by human invigilators. Such technologies have alarmed some students who see them as a “Big Brother-like” threat to liberty and privacy, and as potentially unfair and discriminatory. However, some universities and educators defend their judicious use. Critical ethical appraisal of online proctoring technologies is overdue. This essay provides one of the first sustained moral philosophical analyses of these technologies, focusing on ethical notions of academic integrity, fairness, non-maleficence, transparency, privacy, autonomy, liberty, and trust. Most of these concepts are prominent in the new field of AI ethics, and all are relevant to education. The essay discusses these ethical issues. It also offers suggestions for educational institutions and educators interested in the technologies about the kinds of inquiries they need to make and the governance and review processes they might need to adopt to justify and remain accountable for using online proctoring technologies. The rapid and contentious rise of proctoring software provides a fruitful ethical case study of how AI is infiltrating all areas of life. The social impacts and moral consequences of this digital technology warrant ongoing scrutiny and study.","author":[{"dropping-particle":"","family":"Coghlan","given":"Simon","non-dropping-particle":"","parse-names":false,"suffix":""},{"dropping-particle":"","family":"Miller","given":"Tim","non-dropping-particle":"","parse-names":false,"suffix":""},{"dropping-particle":"","family":"Paterson","given":"Jeannie","non-dropping-particle":"","parse-names":false,"suffix":""}],"container-title":"Philosophy and Technology","id":"ITEM-1","issue":"4","issued":{"date-parts":[["2021"]]},"page":"1581-1606","publisher":"Springer Netherlands","title":"Good Proctor or “Big Brother”? Ethics of Online Exam Supervision Technologies","type":"article-journal","volume":"34"},"uris":["http://www.mendeley.com/documents/?uuid=2493b765-648c-4af3-802b-0154f921d4da","http://www.mendeley.com/documents/?uuid=1aa79a27-28c5-4750-9b1c-d4314e5a944f"]}],"mendeley":{"formattedCitation":"(Coghlan et al., 2021)","plainTextFormattedCitation":"(Coghlan et al., 2021)","previouslyFormattedCitation":"(Coghlan et al., 2021)"},"properties":{"noteIndex":0},"schema":"https://github.com/citation-style-language/schema/raw/master/csl-citation.json"}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(Coghlan et al., 2021)</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w:t>
      </w:r>
    </w:p>
    <w:p w14:paraId="7768F14D" w14:textId="688CF363" w:rsidR="00D629C9" w:rsidRPr="00D629C9"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 xml:space="preserve">One of the key advantages of AI in assessment is its ability to improve efficiency and consistency. With this technology, assignments can be graded in large numbers quickly, so that students can get feedback directly, which is very important in today's education, for example AI technology can grade essays by analyzing grammar, structure, and content, thus reducing the administrative burden on educators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{"citationItems":[{"id":"ITEM-1","itemData":{"DOI":"10.29333/ejmste/13428","ISSN":"13058223","abstract":"Artificial intelligence (AI) is transforming various industries, and education is no exception. Rapid advancements in AI technology have become essential for educators and educational assessment professionals to enhance teaching and learning experiences. AI-powered educational assessment tools provide numerous benefits, including improving the accuracy and efficiency of assessments, generating personalized feedback for students, and enabling teachers to adapt their teaching strategies to meet the unique needs of each student. Therefore, AI has the potential to revolutionize the way education is delivered and assessed, ultimately leading to better educational outcomes for students. This paper explores the various applications of AI tools in educational measurement and assessment. Specifically, it discusses the integration of large language AI models in classroom assessment, in specific areas such as test purpose determination and specification, developing, test blueprint, test item generation/development, preparation of test instructions, item assembly/selection, test administration, test scoring, interpretation of test results, test analysis/appraisal, and reporting. It analyses the role of teachers in AI-based assessment and the challenges of using AI-powered tools in educational assessment. Finally, the paper presents strategies to address these challenges and enhance the effectiveness of AI in educational assessment. In conclusion, using AI in educational assessment has benefits and limitations. As such, educators, policymakers, and stakeholders must work together to develop strategies that maximize the benefits of AI in educational assessment while mitigating the associated risks. The application of AI in educational assessment can ultimately transform education, improve learning outcomes, and equip students with the skills needed to succeed in the 21st century.","author":[{"dropping-particle":"","family":"Owan","given":"Valentine Joseph","non-dropping-particle":"","parse-names":false,"suffix":""},{"dropping-particle":"","family":"Abang","given":"Kinsgley Bekom","non-dropping-particle":"","parse-names":false,"suffix":""},{"dropping-particle":"","family":"Idika","given":"Delight Omoji","non-dropping-particle":"","parse-names":false,"suffix":""},{"dropping-particle":"","family":"Etta","given":"Eugene Onor","non-dropping-particle":"","parse-names":false,"suffix":""},{"dropping-particle":"","family":"Bassey","given":"Bassey Asuquo","non-dropping-particle":"","parse-names":false,"suffix":""}],"container-title":"Eurasia Journal of Mathematics, Science and Technology Education","id":"ITEM-1","issue":"8","issued":{"date-parts":[["2023"]]},"title":"Exploring the potential of artificial intelligence tools in educational measurement and assessment","type":"article-journal","volume":"19"},"uris":["http://www.mendeley.com/documents/?uuid=b468427d-b8d7-4b11-8fec-782ec563e537","http://www.mendeley.com/documents/?uuid=2d35ebab-91c3-469b-b2f4-17cf10919e0a"]}],"mendeley":{"formattedCitation":"(Owan et al., 2023)","plainTextFormattedCitation":"(Owan et al., 2023)","previouslyFormattedCitation":"(Owan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(Owan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Additionally, AI uses the same criteria in grading all assignments, so it can help make student assessments </w:t>
      </w:r>
      <w:proofErr w:type="gramStart"/>
      <w:r w:rsidRPr="00D629C9">
        <w:rPr>
          <w:rFonts w:ascii="Cambria" w:hAnsi="Cambria" w:cs="Tahoma"/>
          <w:spacing w:val="1"/>
          <w:sz w:val="22"/>
          <w:szCs w:val="22"/>
          <w:shd w:val="clear" w:color="auto" w:fill="FFFFFF"/>
          <w:lang w:eastAsia="en-ID"/>
        </w:rPr>
        <w:t>more fair</w:t>
      </w:r>
      <w:proofErr w:type="gramEnd"/>
      <w:r w:rsidRPr="00D629C9">
        <w:rPr>
          <w:rFonts w:ascii="Cambria" w:hAnsi="Cambria" w:cs="Tahoma"/>
          <w:spacing w:val="1"/>
          <w:sz w:val="22"/>
          <w:szCs w:val="22"/>
          <w:shd w:val="clear" w:color="auto" w:fill="FFFFFF"/>
          <w:lang w:eastAsia="en-ID"/>
        </w:rPr>
        <w:t xml:space="preserve"> and objective. Relying too much on AI in assessment can make the learning experience feel less </w:t>
      </w:r>
      <w:proofErr w:type="spellStart"/>
      <w:r w:rsidRPr="00D629C9">
        <w:rPr>
          <w:rFonts w:ascii="Cambria" w:hAnsi="Cambria" w:cs="Tahoma"/>
          <w:spacing w:val="1"/>
          <w:sz w:val="22"/>
          <w:szCs w:val="22"/>
          <w:shd w:val="clear" w:color="auto" w:fill="FFFFFF"/>
          <w:lang w:eastAsia="en-ID"/>
        </w:rPr>
        <w:t>human.students</w:t>
      </w:r>
      <w:proofErr w:type="spellEnd"/>
      <w:r w:rsidRPr="00D629C9">
        <w:rPr>
          <w:rFonts w:ascii="Cambria" w:hAnsi="Cambria" w:cs="Tahoma"/>
          <w:spacing w:val="1"/>
          <w:sz w:val="22"/>
          <w:szCs w:val="22"/>
          <w:shd w:val="clear" w:color="auto" w:fill="FFFFFF"/>
          <w:lang w:eastAsia="en-ID"/>
        </w:rPr>
        <w:t xml:space="preserve"> may feel that their assignments are being graded by machines, not by someone who truly understands their learning process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{"citationItems":[{"id":"ITEM-1","itemData":{"DOI":"10.26803/ijlter.23.3.4","ISSN":"16942116","abstract":"Artificial intelligence (AI) presents opportunities in transforming higher education system and contribute significantly to achieving Sustainable Development Goals (SDGs). This study seeks to leverage AI technologies to advance SDGs within South Africa’s higher education system. It examines AI technology adoption in South African higher education institutions and challenges, strategies, and potential future directions. This qualitative research employed the constructivist principle to unravel the dynamics of AI in advancing SDGs in South Africa. Lecturers from the Department of Information Sciences were the participants of the study. The participants were purposefully selected based on their experience and knowledge of AI technologies. In-depth interview and focused group discussion was employed to generate and estimate responses using thematic content analysis. The result revealed that participants used AI technology to increase students' learning and engagement so students would not doze in class. It was discovered that AI technology has increased the chances for collective learning. The study further proved that AI technology can improve personalized learning experiences of students with diverse learning styles and abilities. This has led to a more inclusive and interactive classroom environment where students feel more motivated and supported in their learning journey. Integrating AI technology into education has shown promising results in improving student outcomes and fostering a more collaborative learning atmosphere. Based on the results, it implies that harnessing AI would advance SDGs in South Africa’s higher education institutions. As such, we recommended that the South African government should formulate comprehensive national AI education policy guidelines for higher education to regulate and harmonize the usage of AI in the higher education system.","author":[{"dropping-particle":"","family":"Opesemowo","given":"Oluwaseyi Aina Gbolade","non-dropping-particle":"","parse-names":false,"suffix":""},{"dropping-particle":"","family":"Adekomaya","given":"Victoria","non-dropping-particle":"","parse-names":false,"suffix":""}],"container-title":"International Journal of Learning, Teaching and Educational Research","id":"ITEM-1","issue":"3","issued":{"date-parts":[["2024"]]},"page":"67-86","title":"Harnessing Artificial Intelligence for Advancing Sustainable Development Goals in South Africa's Higher Education System: A Qualitative Study","type":"article-journal","volume":"23"},"uris":["http://www.mendeley.com/documents/?uuid=2cade12c-0084-406f-b494-dd3262fd8768","http://www.mendeley.com/documents/?uuid=a17f638a-2757-4ffb-a4f5-bc072baa5964"]}],"mendeley":{"formattedCitation":"(Opesemowo &amp; Adekomaya, 2024)","plainTextFormattedCitation":"(Opesemowo &amp; Adekomaya, 2024)","previouslyFormattedCitation":"(Opesemowo &amp; Adekomaya,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(Opesemowo &amp; Adekomaya,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This can lead to a lack of motivation and student engagement, as direct interaction with teachers plays an important role in creating a supportive learning environment. AI that provides standardized feedback may not be able to adapt to each student's unique needs, even though personalization is essential in the learning process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10.1108/JRIT-09-2024-195","ISBN":"9798369302057","ISSN":"23977604","author":[{"dropping-particle":"","family":"Damaševičius","given":"Robertas","non-dropping-particle":"","parse-names":false,"suffix":""}],"container-title":"Journal of Research in Innovative Teaching and Learning","id":"ITEM-1","issue":"2","issued":{"date-parts":[["2024"]]},"page":"414-416","title":"Commentary: ChatGPT-supported student assessment – can we rely on it?","type":"article-journal","volume":"17"},"uris":["http://www.mendeley.com/documents/?uuid=0b4ac34d-5479-40dd-8a8b-715b52526c8c","http://www.mendeley.com/documents/?uuid=12d7986e-ded1-482c-8555-92688f068493"]}],"mendeley":{"formattedCitation":"(Damaševičius, 2024)","plainTextFormattedCitation":"(Damaševičius, 2024)","previouslyFormattedCitation":"(Damaševičius,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(Damaševičius,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This situation is further complicated by the possibility of AI encouraging dishonest academic actions. If they rely too much on automated assessments, students may be tempted to look for ways to manipulate the system to get high grades, so they consider shortcuts to be acceptable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{"citationItems":[{"id":"ITEM-1","itemData":{"DOI":"10.1007/s43545-022-00425-5","ISSN":"26629283","abstract":"Artificial intelligence (AI) is heralded as a technology holding many unique affordances to K-12 teaching and learning. The purpose of this study was to examine how AI has been used to support teaching and learning in the K-12 context. Specifically examining the affordances for K-12 educators and students. A thematic systematic review methodology was used with PRISMA principles to examine peer review journal articles from 2010 to 2020. This thematic systematic review revealed four themes of how AI was being used by educators to support student learning: Student Monitoring, Group Management, Automated Grading, and Data-Driven Decisions. The Group Management theme included three sub-themes as AI specifically supported educators with group formation, group moderation, and group facilitation. In the examination of affordances for students, three overarching themes emerged. AI was used for AI tutors, to extend student thinking and Just-for-You-Learning which provided a bespoke learning experience built on students’ strengths and weaknesses, preferences, and interests.","author":[{"dropping-particle":"","family":"Crompton","given":"Helen","non-dropping-particle":"","parse-names":false,"suffix":""},{"dropping-particle":"","family":"Burke","given":"Diane","non-dropping-particle":"","parse-names":false,"suffix":""}],"container-title":"SN Social Sciences","id":"ITEM-1","issue":"7","issued":{"date-parts":[["2022"]]},"page":"2(3), 431-440.","title":"Artificial intelligence in K-12 education","type":"article-journal","volume":"2"},"uris":["http://www.mendeley.com/documents/?uuid=57f98e4c-638d-418e-858f-53d40215002f","http://www.mendeley.com/documents/?uuid=8f2207cd-8d77-4d15-bddd-982941ce8a3c"]}],"mendeley":{"formattedCitation":"(Crompton &amp; Burke, 2022)","plainTextFormattedCitation":"(Crompton &amp; Burke, 2022)","previouslyFormattedCitation":"(Crompton &amp; Burke, 2022)"},"properties":{"noteIndex":0},"schema":"https://github.com/citation-style-language/schema/raw/master/csl-citation.json"}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(Crompton &amp; Burke, 2022)</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These concerns emphasize the need for educators to maintain a balanced approach by ensuring that AI complements but does not replace their pedagogical expertise.</w:t>
      </w:r>
    </w:p>
    <w:p w14:paraId="0FFE1741" w14:textId="74F72596" w:rsidR="00D629C9" w:rsidRPr="00D629C9"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 xml:space="preserve">The use of AI in academic assessment is becoming more widespread, but it also raises concerns about fairness and potential bias that can harm students from diverse backgrounds. AI algorithms often reflect biases that exist in their research.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{"citationItems":[{"id":"ITEM-1","itemData":{"DOI":"10.1609/hcomp.v11i1.27560","ISBN":"9781577358848","ISSN":"2769-1330","abstract":"Recent advances in artificial intelligence (AI) and crowdsourcing have shown success in enhancing learning experiences and outcomes in online education. This paper studies a student performance prediction problem where the objective is to predict students' outcomes in online courses based on their behavioral data. In particular, we focus on addressing the limitation of current student performance prediction solutions that often make inaccurate predictions for students from underrepresented demographic groups due to the lack of training data and differences in behavioral patterns across groups. We develop DebiasEdu, a crowd–AI collaborative debias framework that melds the AI and crowd intelligence through 1) a novel gradient-based bias identification mechanism and 2) a bias-aware crowdsourcing interface and bias calibration design to achieve an accurate and fair student performance prediction. Evaluation results on two online courses demonstrate that DebiasEdu consistently outperforms state-of-the-art AI, fair AI, and crowd–AI baselines by achieving an optimized student performance prediction in terms of both accuracy and fairness.","author":[{"dropping-particle":"","family":"Zong","given":"Ruohan","non-dropping-particle":"","parse-names":false,"suffix":""},{"dropping-particle":"","family":"Zhang","given":"Yang","non-dropping-particle":"","parse-names":false,"suffix":""},{"dropping-particle":"","family":"Stinar","given":"Frank","non-dropping-particle":"","parse-names":false,"suffix":""},{"dropping-particle":"","family":"Shang","given":"Lanyu","non-dropping-particle":"","parse-names":false,"suffix":""},{"dropping-particle":"","family":"Zeng","given":"Huimin","non-dropping-particle":"","parse-names":false,"suffix":""},{"dropping-particle":"","family":"Bosch","given":"Nigel","non-dropping-particle":"","parse-names":false,"suffix":""},{"dropping-particle":"","family":"Wang","given":"Dong","non-dropping-particle":"","parse-names":false,"suffix":""}],"container-title":"Proceedings of the AAAI Conference on Human Computation and Crowdsourcing","id":"ITEM-1","issue":"1","issued":{"date-parts":[["2023"]]},"page":"198-210","title":"A Crowd–AI Collaborative Approach to Address Demographic Bias for Student Performance Prediction in Online Education","type":"article-journal","volume":"11"},"uris":["http://www.mendeley.com/documents/?uuid=a2513068-5540-4592-9589-78e89f2d5c08","http://www.mendeley.com/documents/?uuid=2e52d943-5edb-492d-b322-828cd1edadd3"]}],"mendeley":{"formattedCitation":"(Zong et al., 2023)","plainTextFormattedCitation":"(Zong et al., 2023)","previouslyFormattedCitation":"(Zong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(Zong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In addition, the use of AI for personalized learning can unwittingly exacerbate inequality. The goal of this approach is to tailor the learning experience to the needs of each student. However, in practice, this tends to benefit students who already have access to resources and support, thus widening the gap with those who are less fortunate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{"citationItems":[{"id":"ITEM-1","itemData":{"DOI":"10.1111/bjet.13505","ISSN":"14678535","abstract":"Abstract: Large language models (LLMs) are increasingly adopted in educational contexts to provide personalized support to students and teachers. The unprecedented capacity of LLM-based applications to understand and generate natural language can potentially improve instructional effectiveness and learning outcomes, but the integration of LLMs in education technology has renewed concerns over algorithmic bias, which may exacerbate educational inequalities. Building on prior work that mapped the traditional machine learning life cycle, we provide a framework of the LLM life cycle from the initial development of LLMs to customizing pre-trained models for various applications in educational settings. We explain each step in the LLM life cycle and identify potential sources of bias that may arise in the context of education. We discuss why current measures of bias from traditional machine learning fail to transfer to LLM-generated text (eg, tutoring conversations) because text encodings are high-dimensional, there can be multiple correct responses, and tailoring responses may be pedagogically desirable rather than unfair. The proposed framework clarifies the complex nature of bias in LLM applications and provides practical guidance for their evaluation to promote educational equity. Practitioner notes What is already known about this topic The life cycle of traditional machine learning (ML) applications which focus on predicting labels is well understood. Biases are known to enter in traditional ML applications at various points in the life cycle, and methods to measure and mitigate these biases have been developed and tested. Large language models (LLMs) and other forms of generative artificial intelligence (GenAI) are increasingly adopted in education technologies (EdTech), but current evaluation approaches are not specific to the domain of education. What this paper adds A holistic perspective of the LLM life cycle with domain-specific examples in education to highlight opportunities and challenges for incorporating natural language understanding (NLU) and natural language generation (NLG) into EdTech. Potential sources of bias are identified in each step of the LLM life cycle and discussed in the context of education. A framework for understanding where to expect potential harms of LLMs for students, teachers, and other users of GenAI technology in education, which can guide approaches to bias measurement and mitigation. Implications for practice and/or…","author":[{"dropping-particle":"","family":"Lee","given":"Jinsook","non-dropping-particle":"","parse-names":false,"suffix":""},{"dropping-particle":"","family":"Hicke","given":"Yann","non-dropping-particle":"","parse-names":false,"suffix":""},{"dropping-particle":"","family":"Yu","given":"Renzhe","non-dropping-particle":"","parse-names":false,"suffix":""},{"dropping-particle":"","family":"Brooks","given":"Christopher","non-dropping-particle":"","parse-names":false,"suffix":""},{"dropping-particle":"","family":"Kizilcec","given":"René F.","non-dropping-particle":"","parse-names":false,"suffix":""}],"container-title":"British Journal of Educational Technology","id":"ITEM-1","issue":"5","issued":{"date-parts":[["2024"]]},"page":"1982-2002","title":"The life cycle of large language models in education: A framework for understanding sources of bias","type":"article-journal","volume":"55"},"uris":["http://www.mendeley.com/documents/?uuid=fbca9131-c429-4658-b149-4234d0fdc45c","http://www.mendeley.com/documents/?uuid=00880e53-0797-4633-9af0-1091831ea2f6"]}],"mendeley":{"formattedCitation":"(Lee et al., 2024)","plainTextFormattedCitation":"(Lee et al., 2024)","previouslyFormattedCitation":"(Lee et al.,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(Lee et al.,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This phenomenon can be seen in the world of Education, where students with better abilities can make better use of AI. As a result, there is a gap in the way students' abilities and potentials are assessed, which can create unfair perceptions among different social groups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{"citationItems":[{"id":"ITEM-1","itemData":{"DOI":"10.51244/ijrsi.2023.10412","abstract":"This This research aims to examine the impact of AI on personalized learning and adaptive assessment in higher education and investigate the ethical and social implications of using AI in these contexts. A mixed-methods approach was used, involving surveys, interviews, focus groups, institutional records, and system logs to collect both quantitative and qualitative data. The population included higher education institutions that use AI in personalized learning and adaptive assessment systems, as well as students and educators who use these systems. The results of the study showed that AI-based systems had a positive impact on student engagement and motivation, as well as providing personalized learning experiences. However, the analysis also revealed some limitations and potential concerns, such as technical issues and the potential for bias in the AI algorithms used in these systems. Ethical and social implications were analyzed using ethical frameworks such as the Belmont Report and principles of distributive justice. To ensure ethical and socially responsible use of AI in personalized learning and adaptive assessment, clear guidelines and standards for the development and implementation of these systems need to be established. This includes promoting transparency and accountability in the use of student data, ensuring that algorithms are developed and validated in a fair and unbiased manner, and involving diverse stakeholders in the design and implementation of these systems to promote equity and fairness. Informed consent should also be obtained from students and other stakeholders, and measures should be taken to ensure that student data is kept confidential and secure. Ongoing monitoring and evaluation should be conducted to assess the impact of AI-based systems on student outcomes and to identify and address any unintended consequences or biases.","author":[{"dropping-particle":"","family":"Anuyahong","given":"Bundit","non-dropping-particle":"","parse-names":false,"suffix":""},{"dropping-particle":"","family":"Rattanapong","given":"Chalong","non-dropping-particle":"","parse-names":false,"suffix":""},{"dropping-particle":"","family":"Patcha","given":"Inteera","non-dropping-particle":"","parse-names":false,"suffix":""}],"container-title":"International Journal of Research and Scientific Innovation","id":"ITEM-1","issue":"IV","issued":{"date-parts":[["2023"]]},"page":"88-93","title":"Analyzing the Impact of Artificial Intelligence in Personalized Learning and Adaptive Assessment in Higher Education","type":"article-journal","volume":"X"},"uris":["http://www.mendeley.com/documents/?uuid=5db95572-5ce6-4e77-8644-196d5f2c9f04","http://www.mendeley.com/documents/?uuid=45b85207-0949-4dd0-908a-549f7d16e5b5"]}],"mendeley":{"formattedCitation":"(Anuyahong et al., 2023)","plainTextFormattedCitation":"(Anuyahong et al., 2023)","previouslyFormattedCitation":"(Anuyahong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(Anuyahong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This situation becomes even more complicated due to the bias in student assessments. Factors such as gender, ethnicity, and nationality can affect the way students are evaluated, creating inequities in the assessment process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{"citationItems":[{"id":"ITEM-1","itemData":{"DOI":"10.1016/j.heliyon.2024.e37140","ISSN":"24058440","abstract":"Many studies have documented discrepancies in student evaluation of teaching ratings between male and female instructors and between ethnic majority and minority instructors. Given the importance of such ratings to academic careers and the likelihood of potential intergroup bias, it is crucial that institutions consider approaches to mitigate such biases. Several recent studies have found that simple bias mitigation messaging can be effective in reducing gender and other biases. In the present research, students enrolled in several large Faculty of Science undergraduate courses at an Australian university were recruited on a volunteer basis via the course learning management system. Half of the participants were randomly assigned an intervention message highlighting potential biases relating to gender and language background. Data from 185 respondents were analysed using Bayesian ordinal regression models assessing the impact of message exposure on evaluation scores. Reading a bias intervention message caused students to significantly adjust their scores, with the nature of that change dependent on student and instructor characteristics. Among male students, the bias intervention message significantly increased scores for all except male instructors with English speaking backgrounds, for whom there was no significant impact of the message. In contrast, among female students, the bias intervention message significantly decreased scores for male instructors with English speaking backgrounds only. The sample showed an overall decrease in scores in the intervention group relative to the control group. This is the first study to detect a negative impact of bias intervention messaging on SET scores. Our results suggest students may not acknowledge their own potential bias towards instructors with whom they share similar demographic backgrounds. In conclusion, bias intervention messaging may be a simple method of mitigating bias, but it may lead to consequences in which one or more groups receive lower ratings as a result of the correction.","author":[{"dropping-particle":"","family":"Kim","given":"Fiona","non-dropping-particle":"","parse-names":false,"suffix":""},{"dropping-particle":"","family":"Williams","given":"Lisa A.","non-dropping-particle":"","parse-names":false,"suffix":""},{"dropping-particle":"","family":"Johnston","given":"Emma L.","non-dropping-particle":"","parse-names":false,"suffix":""},{"dropping-particle":"","family":"Fan","given":"Yanan","non-dropping-particle":"","parse-names":false,"suffix":""}],"container-title":"Heliyon","id":"ITEM-1","issue":"17","issued":{"date-parts":[["2024"]]},"page":"e37140","title":"Bias intervention messaging in student evaluations of teaching: The role of gendered perceptions of bias","type":"article-journal","volume":"10"},"uris":["http://www.mendeley.com/documents/?uuid=86216ea3-47e4-495d-872d-b626fff485b8","http://www.mendeley.com/documents/?uuid=cf44271c-f1eb-4039-adfa-0a590c266ea2"]}],"mendeley":{"formattedCitation":"(Kim et al., 2024)","plainTextFormattedCitation":"(Kim et al., 2024)","previouslyFormattedCitation":"(Kim et al.,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(Kim et al.,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To reduce this bias, there needs to be clear ethical guidelines as well as robust training for those using AI in Education. It is also important to provide understanding to all relevant parties, including teachers and administrators, about potential bias in the algorithm, so that injustice in the system can be minimized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{"citationItems":[{"id":"ITEM-1","itemData":{"DOI":"10.1177/23328584241258741","ISSN":"23328584","abstract":"Colleges and universities are increasingly turning to algorithms that predict college-student success to inform various decisions, including those related to admissions, budgeting, and student-success interventions. Because predictive algorithms rely on historical data, they capture societal injustices, including racism. In this study, we examine how the accuracy of college student success predictions differs between racialized groups, signaling algorithmic bias. We also evaluate the utility of leading bias-mitigating techniques in addressing this bias. Using nationally representative data from the Education Longitudinal Study of 2002 and various machine learning modeling approaches, we demonstrate how models incorporating commonly used features to predict college-student success are less accurate when predicting success for racially minoritized students. Common approaches to mitigating algorithmic bias are generally ineffective at eliminating disparities in prediction outcomes and accuracy between racialized groups.","author":[{"dropping-particle":"","family":"Gándara","given":"Denisa","non-dropping-particle":"","parse-names":false,"suffix":""},{"dropping-particle":"","family":"Anahideh","given":"Hadis","non-dropping-particle":"","parse-names":false,"suffix":""},{"dropping-particle":"","family":"Ison","given":"Matthew P.","non-dropping-particle":"","parse-names":false,"suffix":""},{"dropping-particle":"","family":"Picchiarini","given":"Lorenzo","non-dropping-particle":"","parse-names":false,"suffix":""}],"container-title":"AERA Open","id":"ITEM-1","issued":{"date-parts":[["2024"]]},"title":"Inside the Black Box: Detecting and Mitigating Algorithmic Bias Across Racialized Groups in College Student-Success Prediction","type":"article-journal","volume":"10"},"uris":["http://www.mendeley.com/documents/?uuid=a4ce5147-630a-4330-a9e2-e26dda5f3e2c","http://www.mendeley.com/documents/?uuid=f39a68c6-f43a-4d0f-a3b3-ed3e4d2fb72e"]}],"mendeley":{"formattedCitation":"(Gándara et al., 2024)","plainTextFormattedCitation":"(Gándara et al., 2024)","previouslyFormattedCitation":"(Gándara et al.,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(Gándara et al.,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In addition, creating specific methods to detect and address bias in educational algorithms can be an effective solution to ensure a fairer assessment process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{"citationItems":[{"id":"ITEM-1","itemData":{"DOI":"10.1016/B978-0-12-821413-8.00014-2","ISBN":"9780128214138","abstract":"Virtual reality (VR) technology can be used to induce emotional states during academic studies and immersive experiences. This application of VR can be extended through an adaptive interactive mechanism (AIM), which alters aspects of the virtual environment (VE) in real-time to create personalized experiences calibrated to the individual user. Adaptive VR functions on the basis of a closed-loop design, where behavior, psychophysiology, or neurophysiology is monitored to create a real-time model of the user. This quantification is used to infer the emotional state of the individual user and trigger adaptive changes within the VE during run time. This chapter will describe the rationale underpinning the concept of adaptive VR, how distinct groups of AIMs can be organized into a framework and delineates the closed-loop design underpinning this concept. It is argued that adaptive VR can increase the potency of emotional experiences by allowing the system to model individual variation as users interact within a specific VE. A VR study is described that demonstrates how individual differences can be predicted based on an interaction history in a specific context in VR. Participants were monitored in a VE designed to induce threat using a virtual height scenario. Data were used to predict individual traits such as age, gender, neuroticism, and openness. The same data were utilized to predict the likelihood of subsequent behavioral outcomes. The study demonstrates the potential of implicit monitoring within a VE, which illustrates how adaptive VR can create experiences tailored to the individual.","author":[{"dropping-particle":"","family":"Baker","given":"Christopher","non-dropping-particle":"","parse-names":false,"suffix":""},{"dropping-particle":"","family":"Fairclough","given":"Stephen H.","non-dropping-particle":"","parse-names":false,"suffix":""}],"container-title":"Current Research in Neuroadaptive Technology","id":"ITEM-1","issued":{"date-parts":[["2021"]]},"page":"159-176","publisher":"Elsevier","title":"Adaptive virtual reality","type":"article-journal"},"uris":["http://www.mendeley.com/documents/?uuid=53d9145b-660e-4f81-9bce-f7cb837d3bf0","http://www.mendeley.com/documents/?uuid=4b3a48b7-37b4-466c-9e36-fab06972d326"]}],"mendeley":{"formattedCitation":"(Baker &amp; Fairclough, 2021)","plainTextFormattedCitation":"(Baker &amp; Fairclough, 2021)","previouslyFormattedCitation":"(Baker &amp; Fairclough, 2021)"},"properties":{"noteIndex":0},"schema":"https://github.com/citation-style-language/schema/raw/master/csl-citation.json"}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(Baker &amp; Fairclough, 2021)</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In summary, while AI can help improve the assessment system in Education, existing bias is still a major challenge that can threaten fairness and equality in academia. To overcome this, it is necessary to have a common understanding, concrete steps, and a continuous commitment so that AI can be applied more equitably in education.</w:t>
      </w:r>
    </w:p>
    <w:p w14:paraId="21CECAE4" w14:textId="5DC91EA4" w:rsidR="00D629C9" w:rsidRPr="00D629C9"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In the assessment of teachers who use AI, there are several factors that can cause bias and affect student fairness. One of the main causes is training data that is not representative of the entire student population</w:t>
      </w:r>
      <w:r w:rsidR="00D10010">
        <w:rPr>
          <w:rFonts w:ascii="Cambria" w:hAnsi="Cambria" w:cs="Tahoma"/>
          <w:spacing w:val="1"/>
          <w:sz w:val="22"/>
          <w:szCs w:val="22"/>
          <w:shd w:val="clear" w:color="auto" w:fill="FFFFFF"/>
          <w:lang w:eastAsia="en-ID"/>
        </w:rPr>
        <w:t xml:space="preserve"> </w:t>
      </w:r>
      <w:r w:rsidR="00D10010">
        <w:rPr>
          <w:rFonts w:ascii="Cambria" w:hAnsi="Cambria" w:cs="Tahoma"/>
          <w:spacing w:val="1"/>
          <w:sz w:val="22"/>
          <w:szCs w:val="22"/>
          <w:shd w:val="clear" w:color="auto" w:fill="FFFFFF"/>
          <w:lang w:eastAsia="en-ID"/>
        </w:rPr>
        <w:fldChar w:fldCharType="begin" w:fldLock="1"/>
      </w:r>
      <w:r w:rsidR="00D10010">
        <w:rPr>
          <w:rFonts w:ascii="Cambria" w:hAnsi="Cambria" w:cs="Tahoma"/>
          <w:spacing w:val="1"/>
          <w:sz w:val="22"/>
          <w:szCs w:val="22"/>
          <w:shd w:val="clear" w:color="auto" w:fill="FFFFFF"/>
          <w:lang w:eastAsia="en-ID"/>
        </w:rPr>
        <w:instrText>ADDIN CSL_CITATION {"citationItems":[{"id":"ITEM-1","itemData":{"DOI":"10.1016/j.jss.2024.112244","ISSN":"01641212","abstract":"The integration of machine learning (ML) systems into various sectors, notably education, has great potential to transform business workflows and decision-making processes. However, this technological advancement brings forth critical ethical concerns, particularly concerning the fairness of decisions affecting diverse groups of people. Our objective was to systematically map out the landscape of ML fairness research in higher education by exploring seven key research questions. These questions span a range of topics from the types of ML algorithms used in education to the methods of fairness assessment and the results achieved in terms of equity. We included 63 primary studies published between 2002 and 2023. The most common setting for AI Fairness research are: traditional machine learning algorithms (Logistic Regression, Random Forest, Decision Tree), sensitive variables (gender, race, ethnicity), and various definitions of fairness (Group fairness, Demographic parity, Equalized odds). We also identify several future research directions, including fairness assurance for multiple sensitive variables, combining different fairness concepts and metrics, open-source benchmarking tools, and fairness testing for modern ML/AI models.","author":[{"dropping-particle":"","family":"Pham","given":"Nga","non-dropping-particle":"","parse-names":false,"suffix":""},{"dropping-particle":"","family":"Pham Ngoc","given":"Hung","non-dropping-particle":"","parse-names":false,"suffix":""},{"dropping-particle":"","family":"Nguyen-Duc","given":"Anh","non-dropping-particle":"","parse-names":false,"suffix":""}],"container-title":"Journal of Systems and Software","id":"ITEM-1","issue":"January 2024","issued":{"date-parts":[["2025"]]},"page":"112244","publisher":"Elsevier Inc.","title":"Fairness for machine learning software in education: A systematic mapping study","type":"article-journal","volume":"219"},"uris":["http://www.mendeley.com/documents/?uuid=d94c5a64-9dea-42da-873f-8549d6dfcd8f"]}],"mendeley":{"formattedCitation":"(Pham et al., 2025)","plainTextFormattedCitation":"(Pham et al., 2025)","previouslyFormattedCitation":"(Pham et al., 2025)"},"properties":{"noteIndex":0},"schema":"https://github.com/citation-style-language/schema/raw/master/csl-citation.json"}</w:instrText>
      </w:r>
      <w:r w:rsidR="00D10010">
        <w:rPr>
          <w:rFonts w:ascii="Cambria" w:hAnsi="Cambria" w:cs="Tahoma"/>
          <w:spacing w:val="1"/>
          <w:sz w:val="22"/>
          <w:szCs w:val="22"/>
          <w:shd w:val="clear" w:color="auto" w:fill="FFFFFF"/>
          <w:lang w:eastAsia="en-ID"/>
        </w:rPr>
        <w:fldChar w:fldCharType="separate"/>
      </w:r>
      <w:r w:rsidR="00D10010" w:rsidRPr="00D10010">
        <w:rPr>
          <w:rFonts w:ascii="Cambria" w:hAnsi="Cambria" w:cs="Tahoma"/>
          <w:noProof/>
          <w:spacing w:val="1"/>
          <w:sz w:val="22"/>
          <w:szCs w:val="22"/>
          <w:shd w:val="clear" w:color="auto" w:fill="FFFFFF"/>
          <w:lang w:eastAsia="en-ID"/>
        </w:rPr>
        <w:t>(Pham et al., 2025)</w:t>
      </w:r>
      <w:r w:rsidR="00D10010">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Many AI systems are trained with data that only covers certain groups, so they do not reflect the diversity in the world of education. AI systems can generate assessments that are favorable or detrimental to groups of students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{"citationItems":[{"id":"ITEM-1","itemData":{"DOI":"10.29303/jipp.v7i4b.888","ISSN":"2502-7069","abstract":"Sebagian besar penilaian pendidikan Sains (IPA) saat ini dilakukan menggunakan paper and pencil atau manual sehingga proses penilaian memerlukan waktu yang relatif lama hal ini akan berdampak terhadap pengolahan atau analisis data yang lama dan kualitas data yang dihasilkan  menjadi kurang valid dan tidak konsisten, oleh karena itu diperlukan teknik penilaian baru yang cepat diakses dan mengetahui perkembangan pembelajaran yang up to date, oleh karenanya perlu dilakukan reformasi penilaian pembelajaran dengan menyesuaikan diri terhadap perkembangan teknologi yang akan berdampak pada mutu dan masa depan dunia pendidikan. Tujuan penulisan artikel ini adalah untuk mengetahui penggunaan Artificial Intelligence (AI) sebagai solusi masa depan dalam penilaian pembelajaran Sains secara realtime.  Metode penulisan artikel menggunakan telaah literatur. Hasil review literatur adalah AI memodelkan pikir manusia menjadi data dan informasi dalam bentuk aplikasi pintar seperti smartphone, tablet atau dalam bentuk aplikasi lainnya. Berdasarkan hasil kajian beberapa literatur, pengembangan penilaian menggunakan AI bisa dilakukan  secara otomatis dan real time, sehingga siswa mendapat nilainya secara langsung melalui pengeolahan secara otomatis dengan AI, guru terbantu dalam meminimalisir waktu dalam menilai pembelajaran sehingga waktu guru lebih fokus pada proses belajar-mengajar, kegiatan penilaian pembelajaran dapat dilakukan setiap saat, setiap waktu, belajar kapanpun dan dimanapun, tidak terbatas ruang dan waktu serta dapat mengintegrasikan penilaian pengetahuan, keterampilan, sikap pembelajaran atau indikator penilaian lainnya. Dengan demikian dapat disimpulkan bahwa di masa depan penggunaan aplikasi penilaian  secara otomatis menggunakan AI dapat diadaptasikan untuk penilaian data real-time dan terintegrasi pada pendidikan IPA.","author":[{"dropping-particle":"","family":"Sudirman","given":"Sudirman","non-dropping-particle":"","parse-names":false,"suffix":""},{"dropping-particle":"","family":"Sarjan","given":"Muhammad","non-dropping-particle":"","parse-names":false,"suffix":""},{"dropping-particle":"","family":"Rokhmat","given":"Joni","non-dropping-particle":"","parse-names":false,"suffix":""},{"dropping-particle":"","family":"Hamidi","given":"Hamidi","non-dropping-particle":"","parse-names":false,"suffix":""},{"dropping-particle":"","family":"Fauzi","given":"Iswari","non-dropping-particle":"","parse-names":false,"suffix":""}],"container-title":"Jurnal Ilmiah Profesi Pendidikan","id":"ITEM-1","issue":"4b","issued":{"date-parts":[["2022"]]},"title":"Penilaian Pendidikan IPA secara Realtime dan Terintegrasi dengan Artificial Intelligence: Perspektif Filsafat","type":"article-journal","volume":"7"},"uris":["http://www.mendeley.com/documents/?uuid=d9055086-5195-4ddf-8ca5-484d222eafd0","http://www.mendeley.com/documents/?uuid=4e0abb1f-05d2-42fa-bcd3-8c228d7ebbc9"]}],"mendeley":{"formattedCitation":"(Sudirman et al., 2022)","plainTextFormattedCitation":"(Sudirman et al., 2022)","previouslyFormattedCitation":"(Sudirman et al., 2022)"},"properties":{"noteIndex":0},"schema":"https://github.com/citation-style-language/schema/raw/master/csl-citation.json"}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(Sudirman et al., 2022)</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In addition, the AI algorithms used in the assessment can bring bias from its development. This bias arises when programmers unknowingly enter their personal views into the system. For example, if an algorithm is designed based on certain criteria that are deemed "ideal" by the developer, students who do not fit those criteria could be disadvantaged, even if they actually have equal or even better abilities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{"citationItems":[{"id":"ITEM-1","itemData":{"DOI":"10.24246/icm.v4i1.5063","abstract":"Penilaian kinerja guru menjadi salah satu aset penting untuk mengawasi perkembangan dan proses kerja pendidik dalam proses belajar mengajar di sekolah. Adanya penilaian kinerja guru dapat memberikan apresiasi terhadap guru yang memiliki kinerja sangat baik guna meningkatkan semangat dalam proses kerjanya. Guru dengan hasil penilaian yang kurang baik mendapatkan pelatihan yang sesuai. Pada penelitian ini kriteria penilaian kinerja guru yang digunakan yaitu penilaian kinerja guru oleh asesor dan penilaian hasil perhitungan angka kredit dalam satu tahun. Tujuan dari penelitian ini adalah untuk mengetahui kinerja guru berdasarkan standar penilaian dengan mengelompokkan menjadi tiga cluster, yaitu sangat baik, baik, dan cukup baik. Nilai kriteria tersebut diolah dengan metode clustering k-means. Penelitian ini juga membandingkan penilaian kinerja guru dari kedua kriteria nilai tersebut. Hasil dari perbandingan tersebut yaitu terdapat 37.5% guru yang tidak mengalami perpindahan cluster, sementara guru yang mengalami perpindahan cluster sebesar 62.5%. Hasil tersebut membuktikan bahwa walaupun penilaian yang dilakukan oleh asesor memiliki persentase nilai paling besar, yaitu sebesar 70%, tidak menjadi acuan penilaian kinerja guru. Penilaian lain selain penilaian dari asesor, yang berupa penilaian dari rekan sejawat, peserta didik, dan orang tua siswa mempengaruhi hasil dari proses clustering.","author":[{"dropping-particle":"","family":"Tri","given":"Maria Feby","non-dropping-particle":"","parse-names":false,"suffix":""},{"dropping-particle":"","family":"Nataliani","given":"Yessica","non-dropping-particle":"","parse-names":false,"suffix":""}],"container-title":"Indonesian Journal of Computing and Modeling","id":"ITEM-1","issue":"1","issued":{"date-parts":[["2021"]]},"page":"14-22","title":"Analisis Pengaruh Penilaian Asesor terhadap Kinerja Guru Mata Pelajaran dengan k-Means Clustering","type":"article-journal","volume":"4"},"uris":["http://www.mendeley.com/documents/?uuid=92e6408e-7c0c-405f-a218-b670b686f99e","http://www.mendeley.com/documents/?uuid=404270c6-aafb-480c-887b-a3d80082b53f"]}],"mendeley":{"formattedCitation":"(Tri &amp; Nataliani, 2021)","plainTextFormattedCitation":"(Tri &amp; Nataliani, 2021)","previouslyFormattedCitation":"(Tri &amp; Nataliani, 2021)"},"properties":{"noteIndex":0},"schema":"https://github.com/citation-style-language/schema/raw/master/csl-citation.json"}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(Tri &amp; Nataliani, 2021)</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Finally, social and cultural factors also influence bias in AI-based </w:t>
      </w:r>
      <w:r w:rsidRPr="00D629C9">
        <w:rPr>
          <w:rFonts w:ascii="Cambria" w:hAnsi="Cambria" w:cs="Tahoma"/>
          <w:spacing w:val="1"/>
          <w:sz w:val="22"/>
          <w:szCs w:val="22"/>
          <w:shd w:val="clear" w:color="auto" w:fill="FFFFFF"/>
          <w:lang w:eastAsia="en-ID"/>
        </w:rPr>
        <w:lastRenderedPageBreak/>
        <w:t xml:space="preserve">scoring systems. Society's attitudes and perceptions regarding education and assessment can affect how algorithms are deprogrammed and how algorithms are programmed and how students are evaluated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{"citationItems":[{"id":"ITEM-1","itemData":{"author":[{"dropping-particle":"","family":"Ramadhan","given":"Muhammad Rizqi","non-dropping-particle":"","parse-names":false,"suffix":""}],"id":"ITEM-1","issued":{"date-parts":[["2024"]]},"title":"Pengaruh Konsep Keadilan Dalam Al Qur ’ an Dan Relevansinya Dalam Hukum Manusia","type":"article-journal"},"uris":["http://www.mendeley.com/documents/?uuid=2de21a65-92f6-455d-9de0-d1f8cccefc41","http://www.mendeley.com/documents/?uuid=27059544-8c12-4784-8bb5-6cdae3254071"]}],"mendeley":{"formattedCitation":"(Ramadhan, 2024)","manualFormatting":"(Ramadan, 2024)","plainTextFormattedCitation":"(Ramadhan, 2024)","previouslyFormattedCitation":"(Ramadhan,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(Ramadan,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Overall, to reduce bias in AI-based assessments, a structured approach is needed. This includes more diverse use of data, algorithm refinement, and improved development and user understanding of potential biases in the system.</w:t>
      </w:r>
    </w:p>
    <w:p w14:paraId="6650179A" w14:textId="0DC60DFA" w:rsidR="00047F0E" w:rsidRDefault="00D629C9" w:rsidP="00D629C9">
      <w:pPr>
        <w:ind w:firstLine="360"/>
        <w:jc w:val="both"/>
        <w:rPr>
          <w:rFonts w:ascii="Cambria" w:hAnsi="Cambria" w:cs="Tahoma"/>
          <w:spacing w:val="1"/>
          <w:sz w:val="22"/>
          <w:szCs w:val="22"/>
          <w:shd w:val="clear" w:color="auto" w:fill="FFFFFF"/>
          <w:lang w:eastAsia="en-ID"/>
        </w:rPr>
      </w:pPr>
      <w:r w:rsidRPr="00D629C9">
        <w:rPr>
          <w:rFonts w:ascii="Cambria" w:hAnsi="Cambria" w:cs="Tahoma"/>
          <w:spacing w:val="1"/>
          <w:sz w:val="22"/>
          <w:szCs w:val="22"/>
          <w:shd w:val="clear" w:color="auto" w:fill="FFFFFF"/>
          <w:lang w:eastAsia="en-ID"/>
        </w:rPr>
        <w:t xml:space="preserve">Research on the benefits and biases of AI in academic assessment from 2010 to 2024 shows complex developments, in line with technological advances and ethical challenges in Education. The studies reveal that AI can be an effective tool for personalizing learning and assessment, with its ability to analyze students' learning patterns and provide feedback tailored to their needs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{"citationItems":[{"id":"ITEM-1","itemData":{"DOI":"10.51244/ijrsi.2023.10412","abstract":"This This research aims to examine the impact of AI on personalized learning and adaptive assessment in higher education and investigate the ethical and social implications of using AI in these contexts. A mixed-methods approach was used, involving surveys, interviews, focus groups, institutional records, and system logs to collect both quantitative and qualitative data. The population included higher education institutions that use AI in personalized learning and adaptive assessment systems, as well as students and educators who use these systems. The results of the study showed that AI-based systems had a positive impact on student engagement and motivation, as well as providing personalized learning experiences. However, the analysis also revealed some limitations and potential concerns, such as technical issues and the potential for bias in the AI algorithms used in these systems. Ethical and social implications were analyzed using ethical frameworks such as the Belmont Report and principles of distributive justice. To ensure ethical and socially responsible use of AI in personalized learning and adaptive assessment, clear guidelines and standards for the development and implementation of these systems need to be established. This includes promoting transparency and accountability in the use of student data, ensuring that algorithms are developed and validated in a fair and unbiased manner, and involving diverse stakeholders in the design and implementation of these systems to promote equity and fairness. Informed consent should also be obtained from students and other stakeholders, and measures should be taken to ensure that student data is kept confidential and secure. Ongoing monitoring and evaluation should be conducted to assess the impact of AI-based systems on student outcomes and to identify and address any unintended consequences or biases.","author":[{"dropping-particle":"","family":"Anuyahong","given":"Bundit","non-dropping-particle":"","parse-names":false,"suffix":""},{"dropping-particle":"","family":"Rattanapong","given":"Chalong","non-dropping-particle":"","parse-names":false,"suffix":""},{"dropping-particle":"","family":"Patcha","given":"Inteera","non-dropping-particle":"","parse-names":false,"suffix":""}],"container-title":"International Journal of Research and Scientific Innovation","id":"ITEM-1","issue":"IV","issued":{"date-parts":[["2023"]]},"page":"88-93","title":"Analyzing the Impact of Artificial Intelligence in Personalized Learning and Adaptive Assessment in Higher Education","type":"article-journal","volume":"X"},"uris":["http://www.mendeley.com/documents/?uuid=45b85207-0949-4dd0-908a-549f7d16e5b5","http://www.mendeley.com/documents/?uuid=5db95572-5ce6-4e77-8644-196d5f2c9f04"]}],"mendeley":{"formattedCitation":"(Anuyahong et al., 2023)","plainTextFormattedCitation":"(Anuyahong et al., 2023)","previouslyFormattedCitation":"(Anuyahong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(Anuyahong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With the help of AI, teachers can more quickly recognize students' strengths and weaknesses, so that they can design more appropriate learning methods that suit the needs of each student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{"citationItems":[{"id":"ITEM-1","itemData":{"DOI":"10.1007/s10758-024-09747-0","ISBN":"0123456789","ISSN":"22111670","abstract":"One trending theme within research on learning and teaching is an emphasis on artificial intelligence (AI). While AI offers opportunities in the educational arena, blindly replacing human involvement is not the answer. Instead, current research suggests that the key lies in harnessing the strengths of both humans and AI to create a more effective and beneficial learning and teaching experience. Thus, the importance of ‘humans in the loop’ is becoming a central tenet of educational AI. As AI technology advances at breakneck speed, every area of society, including education, needs to engage with and explore the implications of this phenomenon. Therefore, this paper aims to assist in this process by examining the impact of AI on education from researchers’ and practitioners' perspectives. The authors conducted a Delphi study involving a survey administered to N = 33 international professionals followed by in-depth face-to-face discussions with a panel of international researchers to identify key trends and challenges for deploying AI in education. The results indicate that the three most important and impactful trends were (1) privacy and ethical use of AI; (2) the importance of trustworthy algorithms; and (3) equity and fairness. Unsurprisingly, these were also identified as the three key challenges. Based on these findings, the paper outlines policy recommendations for AI in education and suggests a research agenda for closing identified research gaps.","author":[{"dropping-particle":"","family":"Ifenthaler","given":"Dirk","non-dropping-particle":"","parse-names":false,"suffix":""},{"dropping-particle":"","family":"Majumdar","given":"Rwitajit","non-dropping-particle":"","parse-names":false,"suffix":""},{"dropping-particle":"","family":"Gorissen","given":"Pierre","non-dropping-particle":"","parse-names":false,"suffix":""},{"dropping-particle":"","family":"Judge","given":"Miriam","non-dropping-particle":"","parse-names":false,"suffix":""},{"dropping-particle":"","family":"Mishra","given":"Shitanshu","non-dropping-particle":"","parse-names":false,"suffix":""},{"dropping-particle":"","family":"Raffaghelli","given":"Juliana","non-dropping-particle":"","parse-names":false,"suffix":""},{"dropping-particle":"","family":"Shimada","given":"Atsushi","non-dropping-particle":"","parse-names":false,"suffix":""}],"container-title":"Technology, Knowledge and Learning","id":"ITEM-1","issue":"4","issued":{"date-parts":[["2024"]]},"page":"1693-1710","publisher":"Springer Netherlands","title":"Artificial Intelligence in Education: Implications for Policymakers, Researchers, and Practitioners","type":"article-journal","volume":"29"},"uris":["http://www.mendeley.com/documents/?uuid=40dbec85-a47f-4be6-87d1-d833d9aab4a9","http://www.mendeley.com/documents/?uuid=1a508265-e506-4fae-85e1-d8e1182bee3b"]}],"mendeley":{"formattedCitation":"(Ifenthaler et al., 2024)","plainTextFormattedCitation":"(Ifenthaler et al., 2024)","previouslyFormattedCitation":"(Ifenthaler et al.,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(Ifenthaler et al.,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However, behind the benefits, the use of AI in education also risks creating bias. One of the most common is bias in algorithms, which usually comes from training data that is not representative of all groups of students. As a result, AI can generate unfair judgments, especially if its algorithms are not designed with fairness in mind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{"citationItems":[{"id":"ITEM-1","itemData":{"DOI":"10.1609/hcomp.v11i1.27560","ISBN":"9781577358848","ISSN":"2769-1330","abstract":"Recent advances in artificial intelligence (AI) and crowdsourcing have shown success in enhancing learning experiences and outcomes in online education. This paper studies a student performance prediction problem where the objective is to predict students' outcomes in online courses based on their behavioral data. In particular, we focus on addressing the limitation of current student performance prediction solutions that often make inaccurate predictions for students from underrepresented demographic groups due to the lack of training data and differences in behavioral patterns across groups. We develop DebiasEdu, a crowd–AI collaborative debias framework that melds the AI and crowd intelligence through 1) a novel gradient-based bias identification mechanism and 2) a bias-aware crowdsourcing interface and bias calibration design to achieve an accurate and fair student performance prediction. Evaluation results on two online courses demonstrate that DebiasEdu consistently outperforms state-of-the-art AI, fair AI, and crowd–AI baselines by achieving an optimized student performance prediction in terms of both accuracy and fairness.","author":[{"dropping-particle":"","family":"Zong","given":"Ruohan","non-dropping-particle":"","parse-names":false,"suffix":""},{"dropping-particle":"","family":"Zhang","given":"Yang","non-dropping-particle":"","parse-names":false,"suffix":""},{"dropping-particle":"","family":"Stinar","given":"Frank","non-dropping-particle":"","parse-names":false,"suffix":""},{"dropping-particle":"","family":"Shang","given":"Lanyu","non-dropping-particle":"","parse-names":false,"suffix":""},{"dropping-particle":"","family":"Zeng","given":"Huimin","non-dropping-particle":"","parse-names":false,"suffix":""},{"dropping-particle":"","family":"Bosch","given":"Nigel","non-dropping-particle":"","parse-names":false,"suffix":""},{"dropping-particle":"","family":"Wang","given":"Dong","non-dropping-particle":"","parse-names":false,"suffix":""}],"container-title":"Proceedings of the AAAI Conference on Human Computation and Crowdsourcing","id":"ITEM-1","issue":"1","issued":{"date-parts":[["2023"]]},"page":"198-210","title":"A Crowd–AI Collaborative Approach to Address Demographic Bias for Student Performance Prediction in Online Education","type":"article-journal","volume":"11"},"uris":["http://www.mendeley.com/documents/?uuid=2e52d943-5edb-492d-b322-828cd1edadd3","http://www.mendeley.com/documents/?uuid=a2513068-5540-4592-9589-78e89f2d5c08"]}],"mendeley":{"formattedCitation":"(Zong et al., 2023)","plainTextFormattedCitation":"(Zong et al., 2023)","previouslyFormattedCitation":"(Zong et al., 2023)"},"properties":{"noteIndex":0},"schema":"https://github.com/citation-style-language/schema/raw/master/csl-citation.json"}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(Zong et al., 2023)</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Studies show that if training data is less diverse, this can exacerbate inequalities in AI-based scoring systems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{"citationItems":[{"id":"ITEM-1","itemData":{"DOI":"10.3390/sci6010003","ISSN":"24134155","abstract":"The significant advancements in applying artificial intelligence (AI) to healthcare decision-making, medical diagnosis, and other domains have simultaneously raised concerns about the fairness and bias of AI systems. This is particularly critical in areas like healthcare, employment, criminal justice, credit scoring, and increasingly, in generative AI models (GenAI) that produce synthetic media. Such systems can lead to unfair outcomes and perpetuate existing inequalities, including generative biases that affect the representation of individuals in synthetic data. This survey study offers a succinct, comprehensive overview of fairness and bias in AI, addressing their sources, impacts, and mitigation strategies. We review sources of bias, such as data, algorithm, and human decision biases—highlighting the emergent issue of generative AI bias, where models may reproduce and amplify societal stereotypes. We assess the societal impact of biased AI systems, focusing on perpetuating inequalities and reinforcing harmful stereotypes, especially as generative AI becomes more prevalent in creating content that influences public perception. We explore various proposed mitigation strategies, discuss the ethical considerations of their implementation, and emphasize the need for interdisciplinary collaboration to ensure effectiveness. Through a systematic literature review spanning multiple academic disciplines, we present definitions of AI bias and its different types, including a detailed look at generative AI bias. We discuss the negative impacts of AI bias on individuals and society and provide an overview of current approaches to mitigate AI bias, including data pre-processing, model selection, and post-processing. We emphasize the unique challenges presented by generative AI models and the importance of strategies specifically tailored to address these. Addressing bias in AI requires a holistic approach involving diverse and representative datasets, enhanced transparency and accountability in AI systems, and the exploration of alternative AI paradigms that prioritize fairness and ethical considerations. This survey contributes to the ongoing discussion on developing fair and unbiased AI systems by providing an overview of the sources, impacts, and mitigation strategies related to AI bias, with a particular focus on the emerging field of generative AI.","author":[{"dropping-particle":"","family":"Ferrara","given":"Emilio","non-dropping-particle":"","parse-names":false,"suffix":""}],"container-title":"Sci","id":"ITEM-1","issue":"1","issued":{"date-parts":[["2024"]]},"title":"Fairness and Bias in Artificial Intelligence: A Brief Survey of Sources, Impacts, and Mitigation Strategies","type":"article-journal","volume":"6"},"uris":["http://www.mendeley.com/documents/?uuid=5c439c14-ad20-46df-88dd-a71fd947fb33","http://www.mendeley.com/documents/?uuid=ad496471-971f-4517-b279-bbe8e2f8cc74"]}],"mendeley":{"formattedCitation":"(Ferrara, 2024)","plainTextFormattedCitation":"(Ferrara, 2024)","previouslyFormattedCitation":"(Ferrara,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(Ferrara,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xml:space="preserve">. Research in the past decade emphasizes the importance of principles and practices that support transparency and accountability in the use of AI algorithms. One way to reduce bias is to apply the concept of "fair AI," which emphasizes ethical standards in the development and implementation of AI systems. This approach includes an in-depth evaluation of the impact of AI on educational outcomes, to keep it reflective of fairness and equity </w:t>
      </w:r>
      <w:r w:rsidRPr="00D629C9">
        <w:rPr>
          <w:rFonts w:ascii="Cambria" w:hAnsi="Cambria" w:cs="Tahoma"/>
          <w:spacing w:val="1"/>
          <w:sz w:val="22"/>
          <w:szCs w:val="22"/>
          <w:shd w:val="clear" w:color="auto" w:fill="FFFFFF"/>
          <w:lang w:eastAsia="en-ID"/>
        </w:rPr>
        <w:fldChar w:fldCharType="begin" w:fldLock="1"/>
      </w:r>
      <w:r w:rsidR="00B604EC">
        <w:rPr>
          <w:rFonts w:ascii="Cambria" w:hAnsi="Cambria" w:cs="Tahoma"/>
          <w:spacing w:val="1"/>
          <w:sz w:val="22"/>
          <w:szCs w:val="22"/>
          <w:shd w:val="clear" w:color="auto" w:fill="FFFFFF"/>
          <w:lang w:eastAsia="en-ID"/>
        </w:rPr>
        <w:instrText>ADDIN CSL_CITATION {"citationItems":[{"id":"ITEM-1","itemData":{"DOI":"10.3389/frai.2024.1439702","ISSN":"26248212","abstract":"Over the last decade, investment in artificial intelligence (AI) has grown significantly, driven by technology companies and the demand for PhDs in AI. However, new challenges have emerged, such as the ‘black box’ and bias in AI models. Several approaches have been developed to reduce these problems. Responsible AI focuses on the ethical development of AI systems, considering social impact. Fair AI seeks to identify and correct algorithm biases, promoting equitable decisions. Explainable AI aims to create transparent models that allow users to interpret results. Finally, Causal AI emphasizes identifying cause-and-effect relationships and plays a crucial role in creating more robust and reliable systems, thereby promoting fairness and transparency in AI development. Responsible, Fair, and Explainable AI has several weaknesses. However, Causal AI is the approach with the slightest criticism, offering reassurance about the ethical development of AI.","author":[{"dropping-particle":"","family":"Cavique","given":"Luís","non-dropping-particle":"","parse-names":false,"suffix":""}],"container-title":"Frontiers in Artificial Intelligence","id":"ITEM-1","issue":"August","issued":{"date-parts":[["2024"]]},"page":"1-5","title":"Implications of causality in artificial intelligence","type":"article-journal","volume":"7"},"uris":["http://www.mendeley.com/documents/?uuid=4267105b-eb07-4a7a-9788-62a28ebd5c75","http://www.mendeley.com/documents/?uuid=d75f6387-778c-49eb-9520-7d8d41d51a15"]}],"mendeley":{"formattedCitation":"(Cavique, 2024)","plainTextFormattedCitation":"(Cavique, 2024)","previouslyFormattedCitation":"(Cavique, 2024)"},"properties":{"noteIndex":0},"schema":"https://github.com/citation-style-language/schema/raw/master/csl-citation.json"}</w:instrText>
      </w:r>
      <w:r w:rsidRPr="00D629C9">
        <w:rPr>
          <w:rFonts w:ascii="Cambria" w:hAnsi="Cambria" w:cs="Tahoma"/>
          <w:spacing w:val="1"/>
          <w:sz w:val="22"/>
          <w:szCs w:val="22"/>
          <w:shd w:val="clear" w:color="auto" w:fill="FFFFFF"/>
          <w:lang w:eastAsia="en-ID"/>
        </w:rPr>
        <w:fldChar w:fldCharType="separate"/>
      </w:r>
      <w:r w:rsidRPr="00D629C9">
        <w:rPr>
          <w:rFonts w:ascii="Cambria" w:hAnsi="Cambria" w:cs="Tahoma"/>
          <w:noProof/>
          <w:spacing w:val="1"/>
          <w:sz w:val="22"/>
          <w:szCs w:val="22"/>
          <w:shd w:val="clear" w:color="auto" w:fill="FFFFFF"/>
          <w:lang w:eastAsia="en-ID"/>
        </w:rPr>
        <w:t>(Cavique, 2024)</w:t>
      </w:r>
      <w:r w:rsidRPr="00D629C9">
        <w:rPr>
          <w:rFonts w:ascii="Cambria" w:hAnsi="Cambria" w:cs="Tahoma"/>
          <w:spacing w:val="1"/>
          <w:sz w:val="22"/>
          <w:szCs w:val="22"/>
          <w:shd w:val="clear" w:color="auto" w:fill="FFFFFF"/>
          <w:lang w:eastAsia="en-ID"/>
        </w:rPr>
        <w:fldChar w:fldCharType="end"/>
      </w:r>
      <w:r w:rsidRPr="00D629C9">
        <w:rPr>
          <w:rFonts w:ascii="Cambria" w:hAnsi="Cambria" w:cs="Tahoma"/>
          <w:spacing w:val="1"/>
          <w:sz w:val="22"/>
          <w:szCs w:val="22"/>
          <w:shd w:val="clear" w:color="auto" w:fill="FFFFFF"/>
          <w:lang w:eastAsia="en-ID"/>
        </w:rPr>
        <w:t>. Overall, research from 2010 to 2024 shows that while AI has the potential to bring major changes in academic grading systems, issues of bias and fairness are still challenges to be solved. It is hoped that further research can develop a more ethical and equitable way of using AI in the world of education, so that the benefits of this technology can be enjoyed by all students without discrimination.</w:t>
      </w:r>
    </w:p>
    <w:p w14:paraId="50A0E48E" w14:textId="77777777" w:rsidR="00D629C9" w:rsidRPr="00D629C9" w:rsidRDefault="00D629C9" w:rsidP="00D629C9">
      <w:pPr>
        <w:ind w:firstLine="360"/>
        <w:jc w:val="both"/>
        <w:rPr>
          <w:rFonts w:ascii="Cambria" w:hAnsi="Cambria" w:cs="Tahoma"/>
          <w:spacing w:val="1"/>
          <w:sz w:val="22"/>
          <w:szCs w:val="22"/>
          <w:shd w:val="clear" w:color="auto" w:fill="FFFFFF"/>
          <w:lang w:eastAsia="en-ID"/>
        </w:rPr>
      </w:pPr>
    </w:p>
    <w:p w14:paraId="6DCCBB76" w14:textId="5C4A945B" w:rsidR="00047F0E" w:rsidRPr="00DC488A" w:rsidRDefault="008406D3" w:rsidP="00DC488A">
      <w:pPr>
        <w:autoSpaceDE w:val="0"/>
        <w:spacing w:after="120"/>
        <w:jc w:val="center"/>
        <w:rPr>
          <w:rFonts w:ascii="Cambria" w:hAnsi="Cambria"/>
          <w:b/>
          <w:color w:val="000000"/>
        </w:rPr>
      </w:pPr>
      <w:r w:rsidRPr="00DC488A">
        <w:rPr>
          <w:rFonts w:ascii="Cambria" w:hAnsi="Cambria"/>
          <w:b/>
          <w:color w:val="000000"/>
        </w:rPr>
        <w:t>M</w:t>
      </w:r>
      <w:r w:rsidR="00DC488A">
        <w:rPr>
          <w:rFonts w:ascii="Cambria" w:hAnsi="Cambria"/>
          <w:b/>
          <w:color w:val="000000"/>
        </w:rPr>
        <w:t>ETHOD</w:t>
      </w:r>
    </w:p>
    <w:p w14:paraId="1DBEA9E1" w14:textId="77777777" w:rsidR="00D629C9" w:rsidRPr="00D629C9" w:rsidRDefault="00D629C9" w:rsidP="00D629C9">
      <w:pPr>
        <w:pStyle w:val="BodyText"/>
        <w:jc w:val="both"/>
        <w:rPr>
          <w:rFonts w:ascii="Cambria" w:eastAsiaTheme="majorEastAsia" w:hAnsi="Cambria" w:cs="Tahoma"/>
          <w:color w:val="000000" w:themeColor="text1"/>
          <w:sz w:val="22"/>
          <w:szCs w:val="22"/>
          <w:lang w:val="en-ID"/>
        </w:rPr>
      </w:pPr>
      <w:r w:rsidRPr="00D629C9">
        <w:rPr>
          <w:rFonts w:ascii="Cambria" w:eastAsiaTheme="majorEastAsia" w:hAnsi="Cambria" w:cs="Tahoma"/>
          <w:color w:val="000000" w:themeColor="text1"/>
          <w:sz w:val="22"/>
          <w:szCs w:val="22"/>
        </w:rPr>
        <w:t xml:space="preserve">This study uses </w:t>
      </w:r>
      <w:r w:rsidRPr="00D629C9">
        <w:rPr>
          <w:rFonts w:ascii="Cambria" w:eastAsiaTheme="majorEastAsia" w:hAnsi="Cambria" w:cs="Tahoma"/>
          <w:b/>
          <w:bCs/>
          <w:color w:val="000000" w:themeColor="text1"/>
          <w:sz w:val="22"/>
          <w:szCs w:val="22"/>
        </w:rPr>
        <w:t>the Systematic Literature Review (SLR)</w:t>
      </w:r>
      <w:r w:rsidRPr="00D629C9">
        <w:rPr>
          <w:rFonts w:ascii="Cambria" w:eastAsiaTheme="majorEastAsia" w:hAnsi="Cambria" w:cs="Tahoma"/>
          <w:color w:val="000000" w:themeColor="text1"/>
          <w:sz w:val="22"/>
          <w:szCs w:val="22"/>
        </w:rPr>
        <w:t xml:space="preserve"> method. In this study titled "</w:t>
      </w:r>
      <w:r w:rsidRPr="00D629C9">
        <w:rPr>
          <w:rFonts w:ascii="Cambria" w:hAnsi="Cambria" w:cs="Tahoma"/>
          <w:sz w:val="22"/>
          <w:szCs w:val="22"/>
        </w:rPr>
        <w:t>Ai and Grading Mechanisms: A Critical Review of Benefits and Biases</w:t>
      </w:r>
      <w:r w:rsidRPr="00D629C9">
        <w:rPr>
          <w:rFonts w:ascii="Cambria" w:eastAsiaTheme="majorEastAsia" w:hAnsi="Cambria" w:cs="Tahoma"/>
          <w:color w:val="000000" w:themeColor="text1"/>
          <w:sz w:val="22"/>
          <w:szCs w:val="22"/>
        </w:rPr>
        <w:t xml:space="preserve">", data was collected using eight main keywords. All data was taken from the </w:t>
      </w:r>
      <w:r w:rsidRPr="00D629C9">
        <w:rPr>
          <w:rFonts w:ascii="Cambria" w:eastAsiaTheme="majorEastAsia" w:hAnsi="Cambria" w:cs="Tahoma"/>
          <w:b/>
          <w:bCs/>
          <w:color w:val="000000" w:themeColor="text1"/>
          <w:sz w:val="22"/>
          <w:szCs w:val="22"/>
        </w:rPr>
        <w:t>Scopus database</w:t>
      </w:r>
      <w:r w:rsidRPr="00D629C9">
        <w:rPr>
          <w:rFonts w:ascii="Cambria" w:eastAsiaTheme="majorEastAsia" w:hAnsi="Cambria" w:cs="Tahoma"/>
          <w:color w:val="000000" w:themeColor="text1"/>
          <w:sz w:val="22"/>
          <w:szCs w:val="22"/>
        </w:rPr>
        <w:t xml:space="preserve"> and has gone through </w:t>
      </w:r>
      <w:r w:rsidRPr="00D629C9">
        <w:rPr>
          <w:rFonts w:ascii="Cambria" w:eastAsiaTheme="majorEastAsia" w:hAnsi="Cambria" w:cs="Tahoma"/>
          <w:b/>
          <w:bCs/>
          <w:color w:val="000000" w:themeColor="text1"/>
          <w:sz w:val="22"/>
          <w:szCs w:val="22"/>
        </w:rPr>
        <w:t xml:space="preserve">a </w:t>
      </w:r>
      <w:proofErr w:type="gramStart"/>
      <w:r w:rsidRPr="00D629C9">
        <w:rPr>
          <w:rFonts w:ascii="Cambria" w:eastAsiaTheme="majorEastAsia" w:hAnsi="Cambria" w:cs="Tahoma"/>
          <w:b/>
          <w:bCs/>
          <w:color w:val="000000" w:themeColor="text1"/>
          <w:sz w:val="22"/>
          <w:szCs w:val="22"/>
        </w:rPr>
        <w:t>filtering  process</w:t>
      </w:r>
      <w:proofErr w:type="gramEnd"/>
      <w:r w:rsidRPr="00D629C9">
        <w:rPr>
          <w:rFonts w:ascii="Cambria" w:eastAsiaTheme="majorEastAsia" w:hAnsi="Cambria" w:cs="Tahoma"/>
          <w:b/>
          <w:bCs/>
          <w:color w:val="000000" w:themeColor="text1"/>
          <w:sz w:val="22"/>
          <w:szCs w:val="22"/>
        </w:rPr>
        <w:t xml:space="preserve"> </w:t>
      </w:r>
      <w:r w:rsidRPr="00D629C9">
        <w:rPr>
          <w:rFonts w:ascii="Cambria" w:eastAsiaTheme="majorEastAsia" w:hAnsi="Cambria" w:cs="Tahoma"/>
          <w:color w:val="000000" w:themeColor="text1"/>
          <w:sz w:val="22"/>
          <w:szCs w:val="22"/>
        </w:rPr>
        <w:t xml:space="preserve">with a range of years of publication between </w:t>
      </w:r>
      <w:r w:rsidRPr="00D629C9">
        <w:rPr>
          <w:rFonts w:ascii="Cambria" w:eastAsiaTheme="majorEastAsia" w:hAnsi="Cambria" w:cs="Tahoma"/>
          <w:b/>
          <w:bCs/>
          <w:color w:val="000000" w:themeColor="text1"/>
          <w:sz w:val="22"/>
          <w:szCs w:val="22"/>
        </w:rPr>
        <w:t>2021 to 2025</w:t>
      </w:r>
      <w:r w:rsidRPr="00D629C9">
        <w:rPr>
          <w:rFonts w:ascii="Cambria" w:eastAsiaTheme="majorEastAsia" w:hAnsi="Cambria" w:cs="Tahoma"/>
          <w:color w:val="000000" w:themeColor="text1"/>
          <w:sz w:val="22"/>
          <w:szCs w:val="22"/>
        </w:rPr>
        <w:t>. This time range was chosen because of the difficulty of finding the latest articles relevant to the research topic.</w:t>
      </w:r>
    </w:p>
    <w:p w14:paraId="3687F049" w14:textId="77777777" w:rsidR="00D629C9" w:rsidRPr="00D629C9" w:rsidRDefault="00D629C9" w:rsidP="00D629C9">
      <w:pPr>
        <w:pStyle w:val="BodyText"/>
        <w:jc w:val="both"/>
        <w:rPr>
          <w:rFonts w:ascii="Cambria" w:hAnsi="Cambria" w:cs="Tahoma"/>
          <w:sz w:val="22"/>
          <w:szCs w:val="22"/>
        </w:rPr>
      </w:pPr>
      <w:r w:rsidRPr="00D629C9">
        <w:rPr>
          <w:rFonts w:ascii="Cambria" w:eastAsiaTheme="majorEastAsia" w:hAnsi="Cambria" w:cs="Tahoma"/>
          <w:color w:val="000000" w:themeColor="text1"/>
          <w:sz w:val="22"/>
          <w:szCs w:val="22"/>
        </w:rPr>
        <w:t xml:space="preserve">The keywords used in the search are divided into several combinations. The first </w:t>
      </w:r>
      <w:r w:rsidRPr="00D629C9">
        <w:rPr>
          <w:rFonts w:ascii="Cambria" w:hAnsi="Cambria" w:cs="Tahoma"/>
          <w:color w:val="000000" w:themeColor="text1"/>
          <w:sz w:val="22"/>
          <w:szCs w:val="22"/>
        </w:rPr>
        <w:t>and second</w:t>
      </w:r>
      <w:r w:rsidRPr="00D629C9">
        <w:rPr>
          <w:rFonts w:ascii="Cambria" w:eastAsiaTheme="majorEastAsia" w:hAnsi="Cambria" w:cs="Tahoma"/>
          <w:color w:val="000000" w:themeColor="text1"/>
          <w:sz w:val="22"/>
          <w:szCs w:val="22"/>
        </w:rPr>
        <w:t xml:space="preserve"> </w:t>
      </w:r>
      <w:proofErr w:type="gramStart"/>
      <w:r w:rsidRPr="00D629C9">
        <w:rPr>
          <w:rFonts w:ascii="Cambria" w:eastAsiaTheme="majorEastAsia" w:hAnsi="Cambria" w:cs="Tahoma"/>
          <w:color w:val="000000" w:themeColor="text1"/>
          <w:sz w:val="22"/>
          <w:szCs w:val="22"/>
        </w:rPr>
        <w:t>keywords  relate</w:t>
      </w:r>
      <w:proofErr w:type="gramEnd"/>
      <w:r w:rsidRPr="00D629C9">
        <w:rPr>
          <w:rFonts w:ascii="Cambria" w:eastAsiaTheme="majorEastAsia" w:hAnsi="Cambria" w:cs="Tahoma"/>
          <w:color w:val="000000" w:themeColor="text1"/>
          <w:sz w:val="22"/>
          <w:szCs w:val="22"/>
        </w:rPr>
        <w:t xml:space="preserve"> to terms such as </w:t>
      </w:r>
      <w:r w:rsidRPr="00D629C9">
        <w:rPr>
          <w:rFonts w:ascii="Cambria" w:hAnsi="Cambria" w:cs="Tahoma"/>
          <w:color w:val="000000" w:themeColor="text1"/>
          <w:sz w:val="22"/>
          <w:szCs w:val="22"/>
        </w:rPr>
        <w:t>"Artificial Intelligence" OR "AI" OR "Machine Learning", and "Automated Grading" OR "Automated Assessment" OR "AI Grading" OR "Automated Scoring".</w:t>
      </w:r>
      <w:r w:rsidRPr="00D629C9">
        <w:rPr>
          <w:rFonts w:ascii="Cambria" w:eastAsiaTheme="majorEastAsia" w:hAnsi="Cambria" w:cs="Tahoma"/>
          <w:color w:val="000000" w:themeColor="text1"/>
          <w:sz w:val="22"/>
          <w:szCs w:val="22"/>
        </w:rPr>
        <w:t xml:space="preserve"> The fourth to sixth keywords are aimed at finding articles that discuss the benefits as well as biases in the application of AI for assessment, using </w:t>
      </w:r>
      <w:r w:rsidRPr="00D629C9">
        <w:rPr>
          <w:rFonts w:ascii="Cambria" w:hAnsi="Cambria" w:cs="Tahoma"/>
          <w:color w:val="000000" w:themeColor="text1"/>
          <w:sz w:val="22"/>
          <w:szCs w:val="22"/>
        </w:rPr>
        <w:t>keywords</w:t>
      </w:r>
      <w:r w:rsidRPr="00D629C9">
        <w:rPr>
          <w:rFonts w:ascii="Cambria" w:eastAsiaTheme="majorEastAsia" w:hAnsi="Cambria" w:cs="Tahoma"/>
          <w:color w:val="000000" w:themeColor="text1"/>
          <w:sz w:val="22"/>
          <w:szCs w:val="22"/>
        </w:rPr>
        <w:t xml:space="preserve"> such as </w:t>
      </w:r>
      <w:r w:rsidRPr="00D629C9">
        <w:rPr>
          <w:rFonts w:ascii="Cambria" w:hAnsi="Cambria" w:cs="Tahoma"/>
          <w:sz w:val="22"/>
          <w:szCs w:val="22"/>
        </w:rPr>
        <w:t>"Artificial Intelligence" OR "AI" OR "Machine Learning", "Automated Grading" OR "AI Grading" OR "Automated Assessment", and "Bias" OR "Fairness" OR "Equity" OR "Ethical Issues".</w:t>
      </w:r>
      <w:r w:rsidRPr="00D629C9">
        <w:rPr>
          <w:rFonts w:ascii="Cambria" w:eastAsiaTheme="majorEastAsia" w:hAnsi="Cambria" w:cs="Tahoma"/>
          <w:color w:val="000000" w:themeColor="text1"/>
          <w:sz w:val="22"/>
          <w:szCs w:val="22"/>
        </w:rPr>
        <w:t xml:space="preserve"> Meanwhile, the seventh and eighth keywords were used to explore aspects of the validity and reliability of AI-based assessment systems, using keywords such as </w:t>
      </w:r>
      <w:r w:rsidRPr="00D629C9">
        <w:rPr>
          <w:rFonts w:ascii="Cambria" w:hAnsi="Cambria" w:cs="Tahoma"/>
          <w:sz w:val="22"/>
          <w:szCs w:val="22"/>
        </w:rPr>
        <w:t>"Artificial Intelligence" OR "AI" OR "Machine Learning"</w:t>
      </w:r>
      <w:r w:rsidRPr="00D629C9">
        <w:rPr>
          <w:rFonts w:ascii="Cambria" w:eastAsiaTheme="majorEastAsia" w:hAnsi="Cambria" w:cs="Tahoma"/>
          <w:color w:val="000000" w:themeColor="text1"/>
          <w:sz w:val="22"/>
          <w:szCs w:val="22"/>
        </w:rPr>
        <w:t>,</w:t>
      </w:r>
      <w:r w:rsidRPr="00D629C9">
        <w:rPr>
          <w:rFonts w:ascii="Cambria" w:hAnsi="Cambria" w:cs="Tahoma"/>
          <w:sz w:val="22"/>
          <w:szCs w:val="22"/>
        </w:rPr>
        <w:t xml:space="preserve"> "Educational Assessment" OR "Assessment System" OR "Automated Grading", and "Validity" OR "Reliability" OR "Transparency". After using this </w:t>
      </w:r>
      <w:proofErr w:type="gramStart"/>
      <w:r w:rsidRPr="00D629C9">
        <w:rPr>
          <w:rFonts w:ascii="Cambria" w:hAnsi="Cambria" w:cs="Tahoma"/>
          <w:sz w:val="22"/>
          <w:szCs w:val="22"/>
        </w:rPr>
        <w:t>keyword</w:t>
      </w:r>
      <w:proofErr w:type="gramEnd"/>
      <w:r w:rsidRPr="00D629C9">
        <w:rPr>
          <w:rFonts w:ascii="Cambria" w:hAnsi="Cambria" w:cs="Tahoma"/>
          <w:sz w:val="22"/>
          <w:szCs w:val="22"/>
        </w:rPr>
        <w:t xml:space="preserve"> we will get the number of articles we </w:t>
      </w:r>
      <w:proofErr w:type="spellStart"/>
      <w:proofErr w:type="gramStart"/>
      <w:r w:rsidRPr="00D629C9">
        <w:rPr>
          <w:rFonts w:ascii="Cambria" w:hAnsi="Cambria" w:cs="Tahoma"/>
          <w:sz w:val="22"/>
          <w:szCs w:val="22"/>
        </w:rPr>
        <w:t>want.then</w:t>
      </w:r>
      <w:proofErr w:type="spellEnd"/>
      <w:proofErr w:type="gramEnd"/>
      <w:r w:rsidRPr="00D629C9">
        <w:rPr>
          <w:rFonts w:ascii="Cambria" w:hAnsi="Cambria" w:cs="Tahoma"/>
          <w:sz w:val="22"/>
          <w:szCs w:val="22"/>
        </w:rPr>
        <w:t xml:space="preserve"> </w:t>
      </w:r>
      <w:r w:rsidRPr="00D629C9">
        <w:rPr>
          <w:rFonts w:ascii="Cambria" w:eastAsiaTheme="majorEastAsia" w:hAnsi="Cambria" w:cs="Tahoma"/>
          <w:color w:val="000000" w:themeColor="text1"/>
          <w:sz w:val="22"/>
          <w:szCs w:val="22"/>
        </w:rPr>
        <w:t xml:space="preserve">all the article data that has been downloaded in </w:t>
      </w:r>
      <w:proofErr w:type="gramStart"/>
      <w:r w:rsidRPr="00D629C9">
        <w:rPr>
          <w:rFonts w:ascii="Cambria" w:eastAsiaTheme="majorEastAsia" w:hAnsi="Cambria" w:cs="Tahoma"/>
          <w:b/>
          <w:bCs/>
          <w:color w:val="000000" w:themeColor="text1"/>
          <w:sz w:val="22"/>
          <w:szCs w:val="22"/>
        </w:rPr>
        <w:t xml:space="preserve">CSV </w:t>
      </w:r>
      <w:r w:rsidRPr="00D629C9">
        <w:rPr>
          <w:rFonts w:ascii="Cambria" w:eastAsiaTheme="majorEastAsia" w:hAnsi="Cambria" w:cs="Tahoma"/>
          <w:color w:val="000000" w:themeColor="text1"/>
          <w:sz w:val="22"/>
          <w:szCs w:val="22"/>
        </w:rPr>
        <w:t xml:space="preserve"> format</w:t>
      </w:r>
      <w:proofErr w:type="gramEnd"/>
      <w:r w:rsidRPr="00D629C9">
        <w:rPr>
          <w:rFonts w:ascii="Cambria" w:eastAsiaTheme="majorEastAsia" w:hAnsi="Cambria" w:cs="Tahoma"/>
          <w:color w:val="000000" w:themeColor="text1"/>
          <w:sz w:val="22"/>
          <w:szCs w:val="22"/>
        </w:rPr>
        <w:t xml:space="preserve"> is then combined into one file. Furthermore, the merged CSV file is processed using </w:t>
      </w:r>
      <w:r w:rsidRPr="00D629C9">
        <w:rPr>
          <w:rFonts w:ascii="Cambria" w:eastAsiaTheme="majorEastAsia" w:hAnsi="Cambria" w:cs="Tahoma"/>
          <w:b/>
          <w:bCs/>
          <w:color w:val="000000" w:themeColor="text1"/>
          <w:sz w:val="22"/>
          <w:szCs w:val="22"/>
        </w:rPr>
        <w:t xml:space="preserve">the </w:t>
      </w:r>
      <w:proofErr w:type="spellStart"/>
      <w:r w:rsidRPr="00D629C9">
        <w:rPr>
          <w:rFonts w:ascii="Cambria" w:eastAsiaTheme="majorEastAsia" w:hAnsi="Cambria" w:cs="Tahoma"/>
          <w:b/>
          <w:bCs/>
          <w:color w:val="000000" w:themeColor="text1"/>
          <w:sz w:val="22"/>
          <w:szCs w:val="22"/>
        </w:rPr>
        <w:t>OpenRefine</w:t>
      </w:r>
      <w:proofErr w:type="spellEnd"/>
      <w:r w:rsidRPr="00D629C9">
        <w:rPr>
          <w:rFonts w:ascii="Cambria" w:eastAsiaTheme="majorEastAsia" w:hAnsi="Cambria" w:cs="Tahoma"/>
          <w:color w:val="000000" w:themeColor="text1"/>
          <w:sz w:val="22"/>
          <w:szCs w:val="22"/>
        </w:rPr>
        <w:t xml:space="preserve"> application. This application is used to clean data from </w:t>
      </w:r>
      <w:r w:rsidRPr="00D629C9">
        <w:rPr>
          <w:rFonts w:ascii="Cambria" w:eastAsiaTheme="majorEastAsia" w:hAnsi="Cambria" w:cs="Tahoma"/>
          <w:b/>
          <w:bCs/>
          <w:color w:val="000000" w:themeColor="text1"/>
          <w:sz w:val="22"/>
          <w:szCs w:val="22"/>
        </w:rPr>
        <w:t>duplicates</w:t>
      </w:r>
      <w:r w:rsidRPr="00D629C9">
        <w:rPr>
          <w:rFonts w:ascii="Cambria" w:eastAsiaTheme="majorEastAsia" w:hAnsi="Cambria" w:cs="Tahoma"/>
          <w:color w:val="000000" w:themeColor="text1"/>
          <w:sz w:val="22"/>
          <w:szCs w:val="22"/>
        </w:rPr>
        <w:t xml:space="preserve"> as well as biased articles. After the cleaning process is complete, the number of valid and ready articles is analyzed.</w:t>
      </w:r>
    </w:p>
    <w:p w14:paraId="1819E84E" w14:textId="41B92179" w:rsidR="00D629C9" w:rsidRPr="00D629C9" w:rsidRDefault="00D629C9" w:rsidP="00D629C9">
      <w:pPr>
        <w:pStyle w:val="BodyText"/>
        <w:jc w:val="both"/>
        <w:rPr>
          <w:rFonts w:ascii="Cambria" w:eastAsiaTheme="majorEastAsia" w:hAnsi="Cambria" w:cs="Tahoma"/>
          <w:color w:val="000000" w:themeColor="text1"/>
          <w:sz w:val="22"/>
          <w:szCs w:val="22"/>
          <w:lang w:val="en-ID"/>
        </w:rPr>
      </w:pPr>
      <w:r w:rsidRPr="00D629C9">
        <w:rPr>
          <w:rFonts w:ascii="Cambria" w:eastAsiaTheme="majorEastAsia" w:hAnsi="Cambria" w:cs="Tahoma"/>
          <w:color w:val="000000" w:themeColor="text1"/>
          <w:sz w:val="22"/>
          <w:szCs w:val="22"/>
        </w:rPr>
        <w:t xml:space="preserve">The next stage is the process of interpreting bibliometric data using </w:t>
      </w:r>
      <w:r w:rsidRPr="00D629C9">
        <w:rPr>
          <w:rFonts w:ascii="Cambria" w:eastAsiaTheme="majorEastAsia" w:hAnsi="Cambria" w:cs="Tahoma"/>
          <w:b/>
          <w:bCs/>
          <w:color w:val="000000" w:themeColor="text1"/>
          <w:sz w:val="22"/>
          <w:szCs w:val="22"/>
        </w:rPr>
        <w:t xml:space="preserve">the </w:t>
      </w:r>
      <w:proofErr w:type="spellStart"/>
      <w:r w:rsidRPr="00D629C9">
        <w:rPr>
          <w:rFonts w:ascii="Cambria" w:eastAsiaTheme="majorEastAsia" w:hAnsi="Cambria" w:cs="Tahoma"/>
          <w:b/>
          <w:bCs/>
          <w:color w:val="000000" w:themeColor="text1"/>
          <w:sz w:val="22"/>
          <w:szCs w:val="22"/>
        </w:rPr>
        <w:t>Biblioshiny</w:t>
      </w:r>
      <w:proofErr w:type="spellEnd"/>
      <w:r w:rsidRPr="00D629C9">
        <w:rPr>
          <w:rFonts w:ascii="Cambria" w:eastAsiaTheme="majorEastAsia" w:hAnsi="Cambria" w:cs="Tahoma"/>
          <w:b/>
          <w:bCs/>
          <w:color w:val="000000" w:themeColor="text1"/>
          <w:sz w:val="22"/>
          <w:szCs w:val="22"/>
        </w:rPr>
        <w:t xml:space="preserve"> application</w:t>
      </w:r>
      <w:r w:rsidRPr="00D629C9">
        <w:rPr>
          <w:rFonts w:ascii="Cambria" w:eastAsiaTheme="majorEastAsia" w:hAnsi="Cambria" w:cs="Tahoma"/>
          <w:color w:val="000000" w:themeColor="text1"/>
          <w:sz w:val="22"/>
          <w:szCs w:val="22"/>
        </w:rPr>
        <w:t xml:space="preserve">. Through this application, various important information is obtained such as keyword metadata, key information on data sheets, graphs and growth tables of articles per year, graphs and tables of citations per year, Three-Field Plot diagrams, list of the most relevant sources, local impact of sources, core sources based on Bradford's Law, cumulative frequency of occurrences, production of </w:t>
      </w:r>
      <w:r w:rsidRPr="00D629C9">
        <w:rPr>
          <w:rFonts w:ascii="Cambria" w:eastAsiaTheme="majorEastAsia" w:hAnsi="Cambria" w:cs="Tahoma"/>
          <w:color w:val="000000" w:themeColor="text1"/>
          <w:sz w:val="22"/>
          <w:szCs w:val="22"/>
        </w:rPr>
        <w:lastRenderedPageBreak/>
        <w:t>authors over time, distribution of correspondent authors by country,  as well as graphs and tables related to the scientific contributions of countries in the field</w:t>
      </w:r>
      <w:r w:rsidR="000531FB">
        <w:rPr>
          <w:rFonts w:ascii="Cambria" w:eastAsiaTheme="majorEastAsia" w:hAnsi="Cambria" w:cs="Tahoma"/>
          <w:color w:val="000000" w:themeColor="text1"/>
          <w:sz w:val="22"/>
          <w:szCs w:val="22"/>
        </w:rPr>
        <w:t xml:space="preserve"> </w:t>
      </w:r>
      <w:r w:rsidR="000531FB">
        <w:rPr>
          <w:rFonts w:ascii="Cambria" w:eastAsiaTheme="majorEastAsia" w:hAnsi="Cambria" w:cs="Tahoma"/>
          <w:color w:val="000000" w:themeColor="text1"/>
          <w:sz w:val="22"/>
          <w:szCs w:val="22"/>
        </w:rPr>
        <w:fldChar w:fldCharType="begin" w:fldLock="1"/>
      </w:r>
      <w:r w:rsidR="000531FB">
        <w:rPr>
          <w:rFonts w:ascii="Cambria" w:eastAsiaTheme="majorEastAsia" w:hAnsi="Cambria" w:cs="Tahoma"/>
          <w:color w:val="000000" w:themeColor="text1"/>
          <w:sz w:val="22"/>
          <w:szCs w:val="22"/>
        </w:rPr>
        <w:instrText>ADDIN CSL_CITATION {"citationItems":[{"id":"ITEM-1","itemData":{"DOI":"10.3390/s23010067","ISSN":"14248220","PMID":"36616665","abstract":"This paper presents an integrated and easy methodology for bibliometric analysis. The proposed methodology is evaluated on recent research activities to highlight the role of the Internet of Things in healthcare applications. Different tools are used for bibliometric studies to explore the breadth and depth of different research areas. However, these Methods consider only the Web of Science or Scopus data for bibliometric analysis. Furthermore, bibliometric analysis has not been fully utilised to examine the capabilities of the Internet of Things for medical devices and their applications. There is a need for an easy methodology to use for a single integrated analysis of data from many sources rather than just the Web of Science or Scopus. A few bibliometric studies merge the Web of Science and Scopus to conduct a single integrated piece of research. This paper presents a methodology that could be used for a single bibliometric analysis across multiple databases. Three freely available tools, Excel, Perish or Publish and the R package Bibliometrix, are used for the purpose. The proposed bibliometric methodology is evaluated for studies related to the Internet of Medical Things (IoMT) and its applications in healthcare settings. An inclusion/exclusion criterion is developed to explore relevant studies from the seven largest databases, including Scopus, Web of Science, IEEE, ACM digital library, PubMed, Science Direct and Google Scholar. The study focuses on factors such as the number of publications, citations per paper, collaborative research output, h-Index, primary research and healthcare application areas. Data for this study are collected from the seven largest academic databases for 2012 to 2022 related to IoMT and their applications in healthcare. The bibliometric data analysis generated different research themes within IoMT technologies and their applications in healthcare research. The study has also identified significant research areas in this field. The leading research countries and their contributions are another output from the data analysis. Finally, future research directions are proposed for researchers to explore this area in further detail.","author":[{"dropping-particle":"","family":"Ullah","given":"Rahmat","non-dropping-particle":"","parse-names":false,"suffix":""},{"dropping-particle":"","family":"Asghar","given":"Ikram","non-dropping-particle":"","parse-names":false,"suffix":""},{"dropping-particle":"","family":"Griffiths","given":"Mark G.","non-dropping-particle":"","parse-names":false,"suffix":""}],"container-title":"Sensors","id":"ITEM-1","issue":"1","issued":{"date-parts":[["2023"]]},"title":"An Integrated Methodology for Bibliometric Analysis: A Case Study of Internet of Things in Healthcare Applications","type":"article-journal","volume":"23"},"uris":["http://www.mendeley.com/documents/?uuid=1ca1743e-4b4e-4208-8035-d3f4695a63a4"]}],"mendeley":{"formattedCitation":"(Ullah et al., 2023)","plainTextFormattedCitation":"(Ullah et al., 2023)","previouslyFormattedCitation":"(Ullah et al., 2023)"},"properties":{"noteIndex":0},"schema":"https://github.com/citation-style-language/schema/raw/master/csl-citation.json"}</w:instrText>
      </w:r>
      <w:r w:rsidR="000531FB">
        <w:rPr>
          <w:rFonts w:ascii="Cambria" w:eastAsiaTheme="majorEastAsia" w:hAnsi="Cambria" w:cs="Tahoma"/>
          <w:color w:val="000000" w:themeColor="text1"/>
          <w:sz w:val="22"/>
          <w:szCs w:val="22"/>
        </w:rPr>
        <w:fldChar w:fldCharType="separate"/>
      </w:r>
      <w:r w:rsidR="000531FB" w:rsidRPr="000531FB">
        <w:rPr>
          <w:rFonts w:ascii="Cambria" w:eastAsiaTheme="majorEastAsia" w:hAnsi="Cambria" w:cs="Tahoma"/>
          <w:noProof/>
          <w:color w:val="000000" w:themeColor="text1"/>
          <w:sz w:val="22"/>
          <w:szCs w:val="22"/>
        </w:rPr>
        <w:t>(Ullah et al., 2023)</w:t>
      </w:r>
      <w:r w:rsidR="000531FB">
        <w:rPr>
          <w:rFonts w:ascii="Cambria" w:eastAsiaTheme="majorEastAsia" w:hAnsi="Cambria" w:cs="Tahoma"/>
          <w:color w:val="000000" w:themeColor="text1"/>
          <w:sz w:val="22"/>
          <w:szCs w:val="22"/>
        </w:rPr>
        <w:fldChar w:fldCharType="end"/>
      </w:r>
      <w:r w:rsidRPr="00D629C9">
        <w:rPr>
          <w:rFonts w:ascii="Cambria" w:eastAsiaTheme="majorEastAsia" w:hAnsi="Cambria" w:cs="Tahoma"/>
          <w:color w:val="000000" w:themeColor="text1"/>
          <w:sz w:val="22"/>
          <w:szCs w:val="22"/>
        </w:rPr>
        <w:t>.</w:t>
      </w:r>
    </w:p>
    <w:p w14:paraId="34F1AC43" w14:textId="3C67FC23" w:rsidR="00D629C9" w:rsidRDefault="00D629C9" w:rsidP="00D629C9">
      <w:pPr>
        <w:pStyle w:val="BodyText"/>
        <w:jc w:val="both"/>
        <w:rPr>
          <w:rFonts w:ascii="Cambria" w:eastAsiaTheme="majorEastAsia" w:hAnsi="Cambria" w:cs="Tahoma"/>
          <w:color w:val="000000" w:themeColor="text1"/>
          <w:sz w:val="22"/>
          <w:szCs w:val="22"/>
        </w:rPr>
      </w:pPr>
      <w:r w:rsidRPr="00D629C9">
        <w:rPr>
          <w:rFonts w:ascii="Cambria" w:eastAsiaTheme="majorEastAsia" w:hAnsi="Cambria" w:cs="Tahoma"/>
          <w:color w:val="000000" w:themeColor="text1"/>
          <w:sz w:val="22"/>
          <w:szCs w:val="22"/>
        </w:rPr>
        <w:t xml:space="preserve">Next, the data is visualized using the </w:t>
      </w:r>
      <w:proofErr w:type="spellStart"/>
      <w:r w:rsidRPr="00D629C9">
        <w:rPr>
          <w:rFonts w:ascii="Cambria" w:eastAsiaTheme="majorEastAsia" w:hAnsi="Cambria" w:cs="Tahoma"/>
          <w:b/>
          <w:bCs/>
          <w:color w:val="000000" w:themeColor="text1"/>
          <w:sz w:val="22"/>
          <w:szCs w:val="22"/>
        </w:rPr>
        <w:t>VOSviewer</w:t>
      </w:r>
      <w:proofErr w:type="spellEnd"/>
      <w:r w:rsidRPr="00D629C9">
        <w:rPr>
          <w:rFonts w:ascii="Cambria" w:eastAsiaTheme="majorEastAsia" w:hAnsi="Cambria" w:cs="Tahoma"/>
          <w:b/>
          <w:bCs/>
          <w:color w:val="000000" w:themeColor="text1"/>
          <w:sz w:val="22"/>
          <w:szCs w:val="22"/>
        </w:rPr>
        <w:t xml:space="preserve"> application</w:t>
      </w:r>
      <w:r w:rsidRPr="00D629C9">
        <w:rPr>
          <w:rFonts w:ascii="Cambria" w:eastAsiaTheme="majorEastAsia" w:hAnsi="Cambria" w:cs="Tahoma"/>
          <w:color w:val="000000" w:themeColor="text1"/>
          <w:sz w:val="22"/>
          <w:szCs w:val="22"/>
        </w:rPr>
        <w:t xml:space="preserve">, which displays relationships between articles, authors, and topics in the form of </w:t>
      </w:r>
      <w:r w:rsidRPr="00D629C9">
        <w:rPr>
          <w:rFonts w:ascii="Cambria" w:eastAsiaTheme="majorEastAsia" w:hAnsi="Cambria" w:cs="Tahoma"/>
          <w:b/>
          <w:bCs/>
          <w:color w:val="000000" w:themeColor="text1"/>
          <w:sz w:val="22"/>
          <w:szCs w:val="22"/>
        </w:rPr>
        <w:t>Overlay Visualization</w:t>
      </w:r>
      <w:r w:rsidRPr="00D629C9">
        <w:rPr>
          <w:rFonts w:ascii="Cambria" w:eastAsiaTheme="majorEastAsia" w:hAnsi="Cambria" w:cs="Tahoma"/>
          <w:color w:val="000000" w:themeColor="text1"/>
          <w:sz w:val="22"/>
          <w:szCs w:val="22"/>
        </w:rPr>
        <w:t xml:space="preserve"> and </w:t>
      </w:r>
      <w:r w:rsidRPr="00D629C9">
        <w:rPr>
          <w:rFonts w:ascii="Cambria" w:eastAsiaTheme="majorEastAsia" w:hAnsi="Cambria" w:cs="Tahoma"/>
          <w:b/>
          <w:bCs/>
          <w:color w:val="000000" w:themeColor="text1"/>
          <w:sz w:val="22"/>
          <w:szCs w:val="22"/>
        </w:rPr>
        <w:t>Network Visualization</w:t>
      </w:r>
      <w:r w:rsidR="000531FB">
        <w:rPr>
          <w:rFonts w:ascii="Cambria" w:eastAsiaTheme="majorEastAsia" w:hAnsi="Cambria" w:cs="Tahoma"/>
          <w:b/>
          <w:bCs/>
          <w:color w:val="000000" w:themeColor="text1"/>
          <w:sz w:val="22"/>
          <w:szCs w:val="22"/>
        </w:rPr>
        <w:t xml:space="preserve"> </w:t>
      </w:r>
      <w:r w:rsidR="000531FB">
        <w:rPr>
          <w:rFonts w:ascii="Cambria" w:eastAsiaTheme="majorEastAsia" w:hAnsi="Cambria" w:cs="Tahoma"/>
          <w:b/>
          <w:bCs/>
          <w:color w:val="000000" w:themeColor="text1"/>
          <w:sz w:val="22"/>
          <w:szCs w:val="22"/>
        </w:rPr>
        <w:fldChar w:fldCharType="begin" w:fldLock="1"/>
      </w:r>
      <w:r w:rsidR="00D10010">
        <w:rPr>
          <w:rFonts w:ascii="Cambria" w:eastAsiaTheme="majorEastAsia" w:hAnsi="Cambria" w:cs="Tahoma"/>
          <w:b/>
          <w:bCs/>
          <w:color w:val="000000" w:themeColor="text1"/>
          <w:sz w:val="22"/>
          <w:szCs w:val="22"/>
        </w:rPr>
        <w:instrText>ADDIN CSL_CITATION {"citationItems":[{"id":"ITEM-1","itemData":{"DOI":"10.55849/jete.v1i1.175","ISSN":"3025-0668","abstract":"Background. Youtube is said to be a media called alternative media. This is said because YouTube makes it easy for teachers or students to be able to carry out learning very well and can make students have increased learning activities and material can be easily understood quickly. Purpose. The aim of this studyto find out the effect of using YouTube as an online learning material so that the teaching and learning process continues to run well). Method. The method used in this study is a bibliometric analysis technique that includes RIS data components indexed by journals and by discussing research on YouTube as a learning medium.. Results. This shows that YouTube learning media is well used as a learning medium. Conclusion. What can be taken is that YouTube learning media has a positive influence on ease of access, student interest in learning, and improving learning outcomes. In addition, research conducted using the keyword \"YouTube Learning Media\" over a period of time demonstrates the existence of broad research clusters, interactions, and trends in the context of the YouTube platform. The limitation of this research is using bibliometric data which is limited to indexed journals related to YouTube as a learning medium. This could lead to bias in the data sample, so the findings may not cover all relevant research on YouTube use as an instructional medium. The research recommendation is to conduct qualitative research to deepen understanding of students' and teachers' experiences in using YouTube as a learning medium. This research can involve interviews, observations, or case studies to gain deeper insight into the benefits, challenges, and effects of using YouTube in a learning context","author":[{"dropping-particle":"","family":"Yakir","given":"Julia","non-dropping-particle":"","parse-names":false,"suffix":""},{"dropping-particle":"","family":"Valentin","given":"Osthoff","non-dropping-particle":"","parse-names":false,"suffix":""},{"dropping-particle":"","family":"Rosario","given":"Tamara","non-dropping-particle":"","parse-names":false,"suffix":""}],"container-title":"Journal Emerging Technologies in Education","id":"ITEM-1","issue":"1","issued":{"date-parts":[["2023"]]},"page":"69-81","title":"Bibliometric Analysis of Youtube Platform Research Trends Using the Vosviewer Application","type":"article-journal","volume":"1"},"uris":["http://www.mendeley.com/documents/?uuid=1b46d848-a912-4782-a5dd-48c0c48e7afe"]}],"mendeley":{"formattedCitation":"(Yakir et al., 2023)","plainTextFormattedCitation":"(Yakir et al., 2023)","previouslyFormattedCitation":"(Yakir et al., 2023)"},"properties":{"noteIndex":0},"schema":"https://github.com/citation-style-language/schema/raw/master/csl-citation.json"}</w:instrText>
      </w:r>
      <w:r w:rsidR="000531FB">
        <w:rPr>
          <w:rFonts w:ascii="Cambria" w:eastAsiaTheme="majorEastAsia" w:hAnsi="Cambria" w:cs="Tahoma"/>
          <w:b/>
          <w:bCs/>
          <w:color w:val="000000" w:themeColor="text1"/>
          <w:sz w:val="22"/>
          <w:szCs w:val="22"/>
        </w:rPr>
        <w:fldChar w:fldCharType="separate"/>
      </w:r>
      <w:r w:rsidR="000531FB" w:rsidRPr="000531FB">
        <w:rPr>
          <w:rFonts w:ascii="Cambria" w:eastAsiaTheme="majorEastAsia" w:hAnsi="Cambria" w:cs="Tahoma"/>
          <w:bCs/>
          <w:noProof/>
          <w:color w:val="000000" w:themeColor="text1"/>
          <w:sz w:val="22"/>
          <w:szCs w:val="22"/>
        </w:rPr>
        <w:t>(Yakir et al., 2023)</w:t>
      </w:r>
      <w:r w:rsidR="000531FB">
        <w:rPr>
          <w:rFonts w:ascii="Cambria" w:eastAsiaTheme="majorEastAsia" w:hAnsi="Cambria" w:cs="Tahoma"/>
          <w:b/>
          <w:bCs/>
          <w:color w:val="000000" w:themeColor="text1"/>
          <w:sz w:val="22"/>
          <w:szCs w:val="22"/>
        </w:rPr>
        <w:fldChar w:fldCharType="end"/>
      </w:r>
      <w:r w:rsidRPr="00D629C9">
        <w:rPr>
          <w:rFonts w:ascii="Cambria" w:eastAsiaTheme="majorEastAsia" w:hAnsi="Cambria" w:cs="Tahoma"/>
          <w:color w:val="000000" w:themeColor="text1"/>
          <w:sz w:val="22"/>
          <w:szCs w:val="22"/>
        </w:rPr>
        <w:t>. This visualization is very helpful in understanding the patterns of linkages in the literature analyzed. Figure 1 is a diagram of the flow chart of this SLR research.</w:t>
      </w:r>
    </w:p>
    <w:p w14:paraId="1685F60C" w14:textId="49F7237B" w:rsidR="00D629C9" w:rsidRPr="00D629C9" w:rsidRDefault="00135FBC" w:rsidP="00D629C9">
      <w:pPr>
        <w:pStyle w:val="BodyText"/>
        <w:jc w:val="center"/>
        <w:rPr>
          <w:rFonts w:ascii="Cambria" w:eastAsiaTheme="majorEastAsia" w:hAnsi="Cambria" w:cs="Tahoma"/>
          <w:color w:val="000000" w:themeColor="text1"/>
          <w:sz w:val="22"/>
          <w:szCs w:val="22"/>
          <w:lang w:val="en-ID"/>
        </w:rPr>
      </w:pPr>
      <w:r w:rsidRPr="00135FBC">
        <w:rPr>
          <w:rFonts w:ascii="Cambria" w:eastAsiaTheme="majorEastAsia" w:hAnsi="Cambria" w:cs="Tahoma"/>
          <w:noProof/>
          <w:color w:val="000000" w:themeColor="text1"/>
          <w:sz w:val="22"/>
          <w:szCs w:val="22"/>
          <w:lang w:val="en-ID"/>
        </w:rPr>
        <w:drawing>
          <wp:inline distT="0" distB="0" distL="0" distR="0" wp14:anchorId="29190F56" wp14:editId="04B33B25">
            <wp:extent cx="2605177" cy="3339030"/>
            <wp:effectExtent l="0" t="0" r="5080" b="0"/>
            <wp:docPr id="15705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52565" name=""/>
                    <pic:cNvPicPr/>
                  </pic:nvPicPr>
                  <pic:blipFill>
                    <a:blip r:embed="rId8"/>
                    <a:stretch>
                      <a:fillRect/>
                    </a:stretch>
                  </pic:blipFill>
                  <pic:spPr>
                    <a:xfrm>
                      <a:off x="0" y="0"/>
                      <a:ext cx="2618860" cy="3356568"/>
                    </a:xfrm>
                    <a:prstGeom prst="rect">
                      <a:avLst/>
                    </a:prstGeom>
                  </pic:spPr>
                </pic:pic>
              </a:graphicData>
            </a:graphic>
          </wp:inline>
        </w:drawing>
      </w:r>
    </w:p>
    <w:p w14:paraId="2007C726" w14:textId="4606B836" w:rsidR="00650EC7" w:rsidRDefault="0084110A" w:rsidP="0084110A">
      <w:pPr>
        <w:autoSpaceDE w:val="0"/>
        <w:ind w:left="810" w:hanging="810"/>
        <w:jc w:val="center"/>
        <w:rPr>
          <w:rFonts w:ascii="Cambria" w:hAnsi="Cambria" w:cs="Tahoma"/>
          <w:iCs/>
          <w:sz w:val="22"/>
          <w:szCs w:val="22"/>
        </w:rPr>
      </w:pPr>
      <w:r>
        <w:rPr>
          <w:rFonts w:ascii="Cambria" w:hAnsi="Cambria" w:cs="Tahoma"/>
          <w:b/>
          <w:bCs/>
          <w:iCs/>
          <w:sz w:val="22"/>
          <w:szCs w:val="22"/>
        </w:rPr>
        <w:t>Figure</w:t>
      </w:r>
      <w:r w:rsidRPr="0084110A">
        <w:rPr>
          <w:rFonts w:ascii="Cambria" w:hAnsi="Cambria" w:cs="Tahoma"/>
          <w:b/>
          <w:bCs/>
          <w:iCs/>
          <w:sz w:val="22"/>
          <w:szCs w:val="22"/>
        </w:rPr>
        <w:t xml:space="preserve"> </w:t>
      </w:r>
      <w:r w:rsidRPr="0084110A">
        <w:rPr>
          <w:rFonts w:ascii="Cambria" w:hAnsi="Cambria" w:cs="Tahoma"/>
          <w:b/>
          <w:bCs/>
          <w:i/>
          <w:iCs/>
          <w:sz w:val="22"/>
          <w:szCs w:val="22"/>
        </w:rPr>
        <w:fldChar w:fldCharType="begin"/>
      </w:r>
      <w:r w:rsidRPr="0084110A">
        <w:rPr>
          <w:rFonts w:ascii="Cambria" w:hAnsi="Cambria" w:cs="Tahoma"/>
          <w:b/>
          <w:bCs/>
          <w:iCs/>
          <w:sz w:val="22"/>
          <w:szCs w:val="22"/>
        </w:rPr>
        <w:instrText xml:space="preserve"> SEQ Gambar_ \* ARABIC </w:instrText>
      </w:r>
      <w:r w:rsidRPr="0084110A">
        <w:rPr>
          <w:rFonts w:ascii="Cambria" w:hAnsi="Cambria" w:cs="Tahoma"/>
          <w:b/>
          <w:bCs/>
          <w:i/>
          <w:iCs/>
          <w:sz w:val="22"/>
          <w:szCs w:val="22"/>
        </w:rPr>
        <w:fldChar w:fldCharType="separate"/>
      </w:r>
      <w:r w:rsidRPr="0084110A">
        <w:rPr>
          <w:rFonts w:ascii="Cambria" w:hAnsi="Cambria" w:cs="Tahoma"/>
          <w:b/>
          <w:bCs/>
          <w:iCs/>
          <w:noProof/>
          <w:sz w:val="22"/>
          <w:szCs w:val="22"/>
        </w:rPr>
        <w:t>1</w:t>
      </w:r>
      <w:r w:rsidRPr="0084110A">
        <w:rPr>
          <w:rFonts w:ascii="Cambria" w:hAnsi="Cambria" w:cs="Tahoma"/>
          <w:b/>
          <w:bCs/>
          <w:i/>
          <w:iCs/>
          <w:sz w:val="22"/>
          <w:szCs w:val="22"/>
        </w:rPr>
        <w:fldChar w:fldCharType="end"/>
      </w:r>
      <w:r>
        <w:rPr>
          <w:rFonts w:ascii="Cambria" w:hAnsi="Cambria" w:cs="Tahoma"/>
          <w:b/>
          <w:bCs/>
          <w:sz w:val="22"/>
          <w:szCs w:val="22"/>
        </w:rPr>
        <w:t>.</w:t>
      </w:r>
      <w:r w:rsidRPr="0084110A">
        <w:rPr>
          <w:rFonts w:ascii="Cambria" w:hAnsi="Cambria" w:cs="Tahoma"/>
          <w:iCs/>
          <w:sz w:val="22"/>
          <w:szCs w:val="22"/>
        </w:rPr>
        <w:t xml:space="preserve"> Research Method Flow Diagram</w:t>
      </w:r>
    </w:p>
    <w:p w14:paraId="4B1CF220" w14:textId="77777777" w:rsidR="0084110A" w:rsidRPr="0084110A" w:rsidRDefault="0084110A" w:rsidP="0084110A">
      <w:pPr>
        <w:pStyle w:val="BodyText"/>
        <w:spacing w:after="0"/>
        <w:rPr>
          <w:rFonts w:ascii="Cambria" w:hAnsi="Cambria" w:cs="Tahoma"/>
          <w:b/>
          <w:bCs/>
          <w:sz w:val="22"/>
          <w:szCs w:val="22"/>
        </w:rPr>
      </w:pPr>
      <w:r w:rsidRPr="0084110A">
        <w:rPr>
          <w:rFonts w:ascii="Cambria" w:hAnsi="Cambria" w:cs="Tahoma"/>
          <w:b/>
          <w:bCs/>
          <w:sz w:val="22"/>
          <w:szCs w:val="22"/>
        </w:rPr>
        <w:t>Prism Method</w:t>
      </w:r>
    </w:p>
    <w:p w14:paraId="3081989B" w14:textId="77777777" w:rsidR="0084110A" w:rsidRPr="0084110A" w:rsidRDefault="0084110A" w:rsidP="0084110A">
      <w:pPr>
        <w:pStyle w:val="BodyText"/>
        <w:spacing w:after="0"/>
        <w:rPr>
          <w:rFonts w:ascii="Cambria" w:hAnsi="Cambria" w:cs="Tahoma"/>
          <w:sz w:val="22"/>
          <w:szCs w:val="22"/>
        </w:rPr>
      </w:pPr>
      <w:r w:rsidRPr="0084110A">
        <w:rPr>
          <w:rFonts w:ascii="Cambria" w:hAnsi="Cambria" w:cs="Tahoma"/>
          <w:sz w:val="22"/>
          <w:szCs w:val="22"/>
        </w:rPr>
        <w:t>The prism method is used to carry out the following data screening process, which is the step used in the method in figure 2:</w:t>
      </w:r>
    </w:p>
    <w:p w14:paraId="76C84A1F" w14:textId="77777777" w:rsidR="0084110A" w:rsidRDefault="0084110A" w:rsidP="0084110A">
      <w:pPr>
        <w:pStyle w:val="BodyText"/>
        <w:keepNext/>
        <w:jc w:val="center"/>
      </w:pPr>
      <w:r>
        <w:rPr>
          <w:noProof/>
        </w:rPr>
        <w:drawing>
          <wp:inline distT="0" distB="0" distL="0" distR="0" wp14:anchorId="55DCD2D0" wp14:editId="08436588">
            <wp:extent cx="3760439" cy="3071004"/>
            <wp:effectExtent l="0" t="0" r="0" b="0"/>
            <wp:docPr id="1787751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1567" name=""/>
                    <pic:cNvPicPr/>
                  </pic:nvPicPr>
                  <pic:blipFill rotWithShape="1">
                    <a:blip r:embed="rId9"/>
                    <a:srcRect b="8543"/>
                    <a:stretch/>
                  </pic:blipFill>
                  <pic:spPr bwMode="auto">
                    <a:xfrm>
                      <a:off x="0" y="0"/>
                      <a:ext cx="3771497" cy="3080034"/>
                    </a:xfrm>
                    <a:prstGeom prst="rect">
                      <a:avLst/>
                    </a:prstGeom>
                    <a:ln>
                      <a:noFill/>
                    </a:ln>
                    <a:extLst>
                      <a:ext uri="{53640926-AAD7-44D8-BBD7-CCE9431645EC}">
                        <a14:shadowObscured xmlns:a14="http://schemas.microsoft.com/office/drawing/2010/main"/>
                      </a:ext>
                    </a:extLst>
                  </pic:spPr>
                </pic:pic>
              </a:graphicData>
            </a:graphic>
          </wp:inline>
        </w:drawing>
      </w:r>
    </w:p>
    <w:p w14:paraId="7CD082F7" w14:textId="44F3B9CD" w:rsidR="0084110A" w:rsidRPr="0084110A" w:rsidRDefault="0084110A" w:rsidP="0084110A">
      <w:pPr>
        <w:pStyle w:val="Caption"/>
        <w:jc w:val="center"/>
        <w:rPr>
          <w:rFonts w:ascii="Cambria" w:hAnsi="Cambria"/>
          <w:i w:val="0"/>
          <w:iCs w:val="0"/>
          <w:sz w:val="22"/>
          <w:szCs w:val="22"/>
        </w:rPr>
      </w:pPr>
      <w:r>
        <w:rPr>
          <w:rFonts w:ascii="Cambria" w:hAnsi="Cambria"/>
          <w:b/>
          <w:bCs/>
          <w:i w:val="0"/>
          <w:sz w:val="22"/>
          <w:szCs w:val="22"/>
        </w:rPr>
        <w:t>Figure</w:t>
      </w:r>
      <w:r w:rsidRPr="0084110A">
        <w:rPr>
          <w:rFonts w:ascii="Cambria" w:hAnsi="Cambria"/>
          <w:b/>
          <w:bCs/>
          <w:i w:val="0"/>
          <w:sz w:val="22"/>
          <w:szCs w:val="22"/>
        </w:rPr>
        <w:t xml:space="preserve"> </w:t>
      </w:r>
      <w:r w:rsidRPr="0084110A">
        <w:rPr>
          <w:rFonts w:ascii="Cambria" w:hAnsi="Cambria"/>
          <w:b/>
          <w:bCs/>
          <w:i w:val="0"/>
          <w:iCs w:val="0"/>
          <w:sz w:val="22"/>
          <w:szCs w:val="22"/>
        </w:rPr>
        <w:fldChar w:fldCharType="begin"/>
      </w:r>
      <w:r w:rsidRPr="0084110A">
        <w:rPr>
          <w:rFonts w:ascii="Cambria" w:hAnsi="Cambria"/>
          <w:b/>
          <w:bCs/>
          <w:i w:val="0"/>
          <w:sz w:val="22"/>
          <w:szCs w:val="22"/>
        </w:rPr>
        <w:instrText xml:space="preserve"> SEQ Gambar_ \* ARABIC </w:instrText>
      </w:r>
      <w:r w:rsidRPr="0084110A">
        <w:rPr>
          <w:rFonts w:ascii="Cambria" w:hAnsi="Cambria"/>
          <w:b/>
          <w:bCs/>
          <w:i w:val="0"/>
          <w:iCs w:val="0"/>
          <w:sz w:val="22"/>
          <w:szCs w:val="22"/>
        </w:rPr>
        <w:fldChar w:fldCharType="separate"/>
      </w:r>
      <w:r w:rsidRPr="0084110A">
        <w:rPr>
          <w:rFonts w:ascii="Cambria" w:hAnsi="Cambria"/>
          <w:b/>
          <w:bCs/>
          <w:i w:val="0"/>
          <w:noProof/>
          <w:sz w:val="22"/>
          <w:szCs w:val="22"/>
        </w:rPr>
        <w:t>2</w:t>
      </w:r>
      <w:r w:rsidRPr="0084110A">
        <w:rPr>
          <w:rFonts w:ascii="Cambria" w:hAnsi="Cambria"/>
          <w:b/>
          <w:bCs/>
          <w:i w:val="0"/>
          <w:iCs w:val="0"/>
          <w:sz w:val="22"/>
          <w:szCs w:val="22"/>
        </w:rPr>
        <w:fldChar w:fldCharType="end"/>
      </w:r>
      <w:r>
        <w:rPr>
          <w:rFonts w:ascii="Cambria" w:hAnsi="Cambria"/>
          <w:b/>
          <w:bCs/>
          <w:i w:val="0"/>
          <w:iCs w:val="0"/>
          <w:sz w:val="22"/>
          <w:szCs w:val="22"/>
        </w:rPr>
        <w:t>.</w:t>
      </w:r>
      <w:r w:rsidRPr="0084110A">
        <w:rPr>
          <w:rFonts w:ascii="Cambria" w:hAnsi="Cambria"/>
          <w:i w:val="0"/>
          <w:sz w:val="22"/>
          <w:szCs w:val="22"/>
        </w:rPr>
        <w:t xml:space="preserve"> Prisma Systematic Literature Review Method</w:t>
      </w:r>
    </w:p>
    <w:p w14:paraId="663D39BC" w14:textId="77777777" w:rsidR="0084110A" w:rsidRPr="0084110A" w:rsidRDefault="0084110A" w:rsidP="0084110A">
      <w:pPr>
        <w:pStyle w:val="BodyText"/>
        <w:jc w:val="both"/>
        <w:rPr>
          <w:rFonts w:ascii="Cambria" w:hAnsi="Cambria" w:cs="Tahoma"/>
          <w:sz w:val="22"/>
          <w:szCs w:val="22"/>
          <w:lang w:val="en-ID"/>
        </w:rPr>
      </w:pPr>
      <w:r w:rsidRPr="0084110A">
        <w:rPr>
          <w:rFonts w:ascii="Cambria" w:hAnsi="Cambria" w:cs="Tahoma"/>
          <w:sz w:val="22"/>
          <w:szCs w:val="22"/>
        </w:rPr>
        <w:t xml:space="preserve">In table 2 above, the process of selecting articles in this systematic review is carried out with reference to the PRISMA (Preferred Reporting Items for Systematic Reviews and Meta-Analyses) </w:t>
      </w:r>
      <w:r w:rsidRPr="0084110A">
        <w:rPr>
          <w:rFonts w:ascii="Cambria" w:hAnsi="Cambria" w:cs="Tahoma"/>
          <w:sz w:val="22"/>
          <w:szCs w:val="22"/>
        </w:rPr>
        <w:lastRenderedPageBreak/>
        <w:t>guidelines and is described in detail through the flow diagram in the PRISMA Figure above This process consists of four main stages, namely identification, screening, eligibility, and inclusion.</w:t>
      </w:r>
    </w:p>
    <w:p w14:paraId="44CCB420" w14:textId="77777777" w:rsidR="0084110A" w:rsidRPr="0084110A" w:rsidRDefault="0084110A" w:rsidP="0084110A">
      <w:pPr>
        <w:autoSpaceDE w:val="0"/>
        <w:ind w:left="810" w:hanging="810"/>
        <w:jc w:val="center"/>
        <w:rPr>
          <w:rFonts w:ascii="Cambria" w:hAnsi="Cambria"/>
          <w:color w:val="000000"/>
          <w:sz w:val="22"/>
          <w:szCs w:val="22"/>
          <w:lang w:val="en-ID"/>
        </w:rPr>
      </w:pPr>
    </w:p>
    <w:p w14:paraId="76A0B08E" w14:textId="3DBA2AAA"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RESULTS AND DISCUSSION</w:t>
      </w:r>
    </w:p>
    <w:p w14:paraId="178A6DD0" w14:textId="77777777" w:rsidR="0084110A" w:rsidRPr="0084110A" w:rsidRDefault="0084110A" w:rsidP="0084110A">
      <w:pPr>
        <w:pStyle w:val="BodyText"/>
        <w:spacing w:after="0"/>
        <w:rPr>
          <w:rFonts w:ascii="Cambria" w:hAnsi="Cambria" w:cs="Tahoma"/>
          <w:b/>
          <w:bCs/>
          <w:sz w:val="22"/>
          <w:szCs w:val="22"/>
        </w:rPr>
      </w:pPr>
      <w:proofErr w:type="spellStart"/>
      <w:r w:rsidRPr="0084110A">
        <w:rPr>
          <w:rFonts w:ascii="Cambria" w:hAnsi="Cambria" w:cs="Tahoma"/>
          <w:b/>
          <w:bCs/>
          <w:sz w:val="22"/>
          <w:szCs w:val="22"/>
        </w:rPr>
        <w:t>Bibiometric</w:t>
      </w:r>
      <w:proofErr w:type="spellEnd"/>
      <w:r w:rsidRPr="0084110A">
        <w:rPr>
          <w:rFonts w:ascii="Cambria" w:hAnsi="Cambria" w:cs="Tahoma"/>
          <w:b/>
          <w:bCs/>
          <w:sz w:val="22"/>
          <w:szCs w:val="22"/>
        </w:rPr>
        <w:t xml:space="preserve"> Studies</w:t>
      </w:r>
    </w:p>
    <w:p w14:paraId="34A390C4" w14:textId="77777777" w:rsidR="0084110A" w:rsidRPr="0084110A" w:rsidRDefault="0084110A" w:rsidP="0084110A">
      <w:pPr>
        <w:pStyle w:val="Heading4"/>
        <w:spacing w:after="0"/>
        <w:jc w:val="both"/>
        <w:rPr>
          <w:rFonts w:ascii="Cambria" w:hAnsi="Cambria" w:cs="Tahoma"/>
          <w:b/>
          <w:bCs/>
          <w:i w:val="0"/>
          <w:iCs w:val="0"/>
          <w:sz w:val="22"/>
          <w:szCs w:val="22"/>
        </w:rPr>
      </w:pPr>
      <w:r w:rsidRPr="0084110A">
        <w:rPr>
          <w:rFonts w:ascii="Cambria" w:hAnsi="Cambria" w:cs="Tahoma"/>
          <w:i w:val="0"/>
          <w:iCs w:val="0"/>
          <w:color w:val="000000" w:themeColor="text1"/>
          <w:sz w:val="22"/>
          <w:szCs w:val="22"/>
        </w:rPr>
        <w:t xml:space="preserve">In the bibliometric analysis, the search strategy used </w:t>
      </w:r>
      <w:proofErr w:type="spellStart"/>
      <w:r w:rsidRPr="0084110A">
        <w:rPr>
          <w:rFonts w:ascii="Cambria" w:hAnsi="Cambria" w:cs="Tahoma"/>
          <w:i w:val="0"/>
          <w:iCs w:val="0"/>
          <w:color w:val="000000" w:themeColor="text1"/>
          <w:sz w:val="22"/>
          <w:szCs w:val="22"/>
        </w:rPr>
        <w:t>used</w:t>
      </w:r>
      <w:proofErr w:type="spellEnd"/>
      <w:r w:rsidRPr="0084110A">
        <w:rPr>
          <w:rFonts w:ascii="Cambria" w:hAnsi="Cambria" w:cs="Tahoma"/>
          <w:i w:val="0"/>
          <w:iCs w:val="0"/>
          <w:color w:val="000000" w:themeColor="text1"/>
          <w:sz w:val="22"/>
          <w:szCs w:val="22"/>
        </w:rPr>
        <w:t xml:space="preserve"> </w:t>
      </w:r>
      <w:r w:rsidRPr="0084110A">
        <w:rPr>
          <w:rFonts w:ascii="Cambria" w:hAnsi="Cambria" w:cs="Tahoma"/>
          <w:b/>
          <w:bCs/>
          <w:i w:val="0"/>
          <w:iCs w:val="0"/>
          <w:color w:val="000000" w:themeColor="text1"/>
          <w:sz w:val="22"/>
          <w:szCs w:val="22"/>
        </w:rPr>
        <w:t>Scopus data</w:t>
      </w:r>
      <w:r w:rsidRPr="0084110A">
        <w:rPr>
          <w:rFonts w:ascii="Cambria" w:hAnsi="Cambria" w:cs="Tahoma"/>
          <w:i w:val="0"/>
          <w:iCs w:val="0"/>
          <w:color w:val="000000" w:themeColor="text1"/>
          <w:sz w:val="22"/>
          <w:szCs w:val="22"/>
        </w:rPr>
        <w:t xml:space="preserve"> </w:t>
      </w:r>
      <w:proofErr w:type="gramStart"/>
      <w:r w:rsidRPr="0084110A">
        <w:rPr>
          <w:rFonts w:ascii="Cambria" w:hAnsi="Cambria" w:cs="Tahoma"/>
          <w:i w:val="0"/>
          <w:iCs w:val="0"/>
          <w:color w:val="000000" w:themeColor="text1"/>
          <w:sz w:val="22"/>
          <w:szCs w:val="22"/>
        </w:rPr>
        <w:t>sources  related</w:t>
      </w:r>
      <w:proofErr w:type="gramEnd"/>
      <w:r w:rsidRPr="0084110A">
        <w:rPr>
          <w:rFonts w:ascii="Cambria" w:hAnsi="Cambria" w:cs="Tahoma"/>
          <w:i w:val="0"/>
          <w:iCs w:val="0"/>
          <w:color w:val="000000" w:themeColor="text1"/>
          <w:sz w:val="22"/>
          <w:szCs w:val="22"/>
        </w:rPr>
        <w:t xml:space="preserve"> to this research theme. From several keywords selected, 3 keywords were chosen, namely keywords for </w:t>
      </w:r>
      <w:r w:rsidRPr="0084110A">
        <w:rPr>
          <w:rFonts w:ascii="Cambria" w:hAnsi="Cambria" w:cs="Tahoma"/>
          <w:i w:val="0"/>
          <w:iCs w:val="0"/>
          <w:color w:val="auto"/>
          <w:sz w:val="22"/>
          <w:szCs w:val="22"/>
        </w:rPr>
        <w:t>a broad search about AI in grading, focusing on the benefits and biases of AI in grading and keywords to highlight the validity and reliability of AI in academic assessment</w:t>
      </w:r>
      <w:r w:rsidRPr="0084110A">
        <w:rPr>
          <w:rFonts w:ascii="Cambria" w:hAnsi="Cambria" w:cs="Tahoma"/>
          <w:b/>
          <w:bCs/>
          <w:i w:val="0"/>
          <w:iCs w:val="0"/>
          <w:sz w:val="22"/>
          <w:szCs w:val="22"/>
        </w:rPr>
        <w:t xml:space="preserve">. </w:t>
      </w:r>
    </w:p>
    <w:p w14:paraId="01F57EA2" w14:textId="77777777" w:rsidR="0084110A" w:rsidRPr="0084110A" w:rsidRDefault="0084110A" w:rsidP="0084110A">
      <w:pPr>
        <w:pStyle w:val="BodyText"/>
        <w:spacing w:after="0"/>
        <w:rPr>
          <w:rFonts w:ascii="Cambria" w:hAnsi="Cambria" w:cs="Tahoma"/>
          <w:b/>
          <w:bCs/>
          <w:sz w:val="22"/>
          <w:szCs w:val="22"/>
        </w:rPr>
      </w:pPr>
      <w:r w:rsidRPr="0084110A">
        <w:rPr>
          <w:rFonts w:ascii="Cambria" w:hAnsi="Cambria" w:cs="Tahoma"/>
          <w:b/>
          <w:bCs/>
          <w:sz w:val="22"/>
          <w:szCs w:val="22"/>
        </w:rPr>
        <w:t>For a broad search on AI in grading</w:t>
      </w:r>
    </w:p>
    <w:p w14:paraId="4207AEA5" w14:textId="77777777" w:rsidR="0084110A" w:rsidRPr="0084110A" w:rsidRDefault="0084110A" w:rsidP="0084110A">
      <w:pPr>
        <w:pStyle w:val="Heading4"/>
        <w:spacing w:after="0"/>
        <w:jc w:val="center"/>
        <w:rPr>
          <w:rFonts w:ascii="Cambria" w:hAnsi="Cambria" w:cs="Tahoma"/>
          <w:i w:val="0"/>
          <w:iCs w:val="0"/>
          <w:color w:val="000000" w:themeColor="text1"/>
          <w:sz w:val="22"/>
          <w:szCs w:val="22"/>
        </w:rPr>
      </w:pPr>
      <w:r w:rsidRPr="0084110A">
        <w:rPr>
          <w:rFonts w:ascii="Cambria" w:hAnsi="Cambria" w:cs="Tahoma"/>
          <w:i w:val="0"/>
          <w:iCs w:val="0"/>
          <w:color w:val="000000" w:themeColor="text1"/>
          <w:sz w:val="22"/>
          <w:szCs w:val="22"/>
        </w:rPr>
        <w:t>("Artificial Intelligence" OR "AI" OR "Machine Learning")</w:t>
      </w:r>
    </w:p>
    <w:p w14:paraId="3BC3C6B6" w14:textId="77777777" w:rsidR="0084110A" w:rsidRPr="0084110A" w:rsidRDefault="0084110A" w:rsidP="0084110A">
      <w:pPr>
        <w:pStyle w:val="Heading4"/>
        <w:spacing w:after="0"/>
        <w:jc w:val="center"/>
        <w:rPr>
          <w:rFonts w:ascii="Cambria" w:hAnsi="Cambria" w:cs="Tahoma"/>
          <w:i w:val="0"/>
          <w:iCs w:val="0"/>
          <w:color w:val="000000" w:themeColor="text1"/>
          <w:sz w:val="22"/>
          <w:szCs w:val="22"/>
        </w:rPr>
      </w:pPr>
      <w:r w:rsidRPr="0084110A">
        <w:rPr>
          <w:rFonts w:ascii="Cambria" w:hAnsi="Cambria" w:cs="Tahoma"/>
          <w:i w:val="0"/>
          <w:iCs w:val="0"/>
          <w:color w:val="000000" w:themeColor="text1"/>
          <w:sz w:val="22"/>
          <w:szCs w:val="22"/>
        </w:rPr>
        <w:t xml:space="preserve">AND </w:t>
      </w:r>
      <w:r w:rsidRPr="0084110A">
        <w:rPr>
          <w:rFonts w:ascii="Cambria" w:hAnsi="Cambria" w:cs="Tahoma"/>
          <w:i w:val="0"/>
          <w:iCs w:val="0"/>
          <w:color w:val="000000" w:themeColor="text1"/>
          <w:sz w:val="22"/>
          <w:szCs w:val="22"/>
        </w:rPr>
        <w:br/>
        <w:t>("Automated Grading" OR "Automated Assessment" OR "AI Grading" OR "Automated Scoring")</w:t>
      </w:r>
    </w:p>
    <w:p w14:paraId="60AB0BA2" w14:textId="77777777" w:rsidR="0084110A" w:rsidRPr="0084110A" w:rsidRDefault="0084110A" w:rsidP="0084110A">
      <w:pPr>
        <w:pStyle w:val="BodyText"/>
        <w:spacing w:after="0"/>
        <w:jc w:val="both"/>
        <w:rPr>
          <w:rFonts w:ascii="Cambria" w:hAnsi="Cambria" w:cs="Tahoma"/>
          <w:sz w:val="22"/>
          <w:szCs w:val="22"/>
        </w:rPr>
      </w:pPr>
      <w:r w:rsidRPr="0084110A">
        <w:rPr>
          <w:rFonts w:ascii="Cambria" w:hAnsi="Cambria" w:cs="Tahoma"/>
          <w:sz w:val="22"/>
          <w:szCs w:val="22"/>
        </w:rPr>
        <w:t xml:space="preserve">The data obtained is 349 from 1997-2025 and after a filter was carried out which included Articles with limitations, Open Access, 2015-2025, English, Type (Articles, Review, </w:t>
      </w:r>
      <w:proofErr w:type="spellStart"/>
      <w:r w:rsidRPr="0084110A">
        <w:rPr>
          <w:rFonts w:ascii="Cambria" w:hAnsi="Cambria" w:cs="Tahoma"/>
          <w:sz w:val="22"/>
          <w:szCs w:val="22"/>
        </w:rPr>
        <w:t>Procesing</w:t>
      </w:r>
      <w:proofErr w:type="spellEnd"/>
      <w:r w:rsidRPr="0084110A">
        <w:rPr>
          <w:rFonts w:ascii="Cambria" w:hAnsi="Cambria" w:cs="Tahoma"/>
          <w:sz w:val="22"/>
          <w:szCs w:val="22"/>
        </w:rPr>
        <w:t xml:space="preserve"> Conference) in </w:t>
      </w:r>
      <w:r w:rsidRPr="0084110A">
        <w:rPr>
          <w:rFonts w:ascii="Cambria" w:hAnsi="Cambria" w:cs="Tahoma"/>
          <w:b/>
          <w:bCs/>
          <w:sz w:val="22"/>
          <w:szCs w:val="22"/>
        </w:rPr>
        <w:t>110 articles was obtained</w:t>
      </w:r>
    </w:p>
    <w:p w14:paraId="1CEA25B0" w14:textId="77777777" w:rsidR="0084110A" w:rsidRPr="0084110A" w:rsidRDefault="0084110A" w:rsidP="0084110A">
      <w:pPr>
        <w:pStyle w:val="BodyText"/>
        <w:spacing w:after="0"/>
        <w:jc w:val="both"/>
        <w:rPr>
          <w:rFonts w:ascii="Cambria" w:hAnsi="Cambria" w:cs="Tahoma"/>
          <w:b/>
          <w:bCs/>
          <w:sz w:val="22"/>
          <w:szCs w:val="22"/>
        </w:rPr>
      </w:pPr>
      <w:r w:rsidRPr="0084110A">
        <w:rPr>
          <w:rFonts w:ascii="Cambria" w:hAnsi="Cambria" w:cs="Tahoma"/>
          <w:b/>
          <w:bCs/>
          <w:sz w:val="22"/>
          <w:szCs w:val="22"/>
        </w:rPr>
        <w:t>To focus on the benefits and biases of AI in assessment</w:t>
      </w:r>
    </w:p>
    <w:p w14:paraId="5DB490A0"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("Artificial Intelligence" OR "AI" OR "Machine Learning")</w:t>
      </w:r>
    </w:p>
    <w:p w14:paraId="731D3319"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 xml:space="preserve">AND </w:t>
      </w:r>
    </w:p>
    <w:p w14:paraId="423E3247"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("Automated Grading" OR "AI Grading" OR "Automated Assessment")</w:t>
      </w:r>
    </w:p>
    <w:p w14:paraId="671BB2B8"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AND ("Bias" OR "Fairness" OR "Equity" OR "Ethical Issues")</w:t>
      </w:r>
    </w:p>
    <w:p w14:paraId="2CA43062" w14:textId="77777777" w:rsidR="0084110A" w:rsidRPr="0084110A" w:rsidRDefault="0084110A" w:rsidP="0084110A">
      <w:pPr>
        <w:pStyle w:val="BodyText"/>
        <w:spacing w:after="0"/>
        <w:jc w:val="both"/>
        <w:rPr>
          <w:rFonts w:ascii="Cambria" w:hAnsi="Cambria" w:cs="Tahoma"/>
          <w:sz w:val="22"/>
          <w:szCs w:val="22"/>
        </w:rPr>
      </w:pPr>
      <w:r w:rsidRPr="0084110A">
        <w:rPr>
          <w:rFonts w:ascii="Cambria" w:hAnsi="Cambria" w:cs="Tahoma"/>
          <w:sz w:val="22"/>
          <w:szCs w:val="22"/>
        </w:rPr>
        <w:t xml:space="preserve">The data obtained are </w:t>
      </w:r>
      <w:r w:rsidRPr="0084110A">
        <w:rPr>
          <w:rFonts w:ascii="Cambria" w:hAnsi="Cambria" w:cs="Tahoma"/>
          <w:b/>
          <w:bCs/>
          <w:sz w:val="22"/>
          <w:szCs w:val="22"/>
        </w:rPr>
        <w:t>2 articles</w:t>
      </w:r>
      <w:r w:rsidRPr="0084110A">
        <w:rPr>
          <w:rFonts w:ascii="Cambria" w:hAnsi="Cambria" w:cs="Tahoma"/>
          <w:sz w:val="22"/>
          <w:szCs w:val="22"/>
        </w:rPr>
        <w:t xml:space="preserve"> that are limited to the years 2015-2025</w:t>
      </w:r>
    </w:p>
    <w:p w14:paraId="31E0FCE3" w14:textId="77777777" w:rsidR="0084110A" w:rsidRPr="0084110A" w:rsidRDefault="0084110A" w:rsidP="0084110A">
      <w:pPr>
        <w:pStyle w:val="BodyText"/>
        <w:spacing w:after="0"/>
        <w:jc w:val="both"/>
        <w:rPr>
          <w:rFonts w:ascii="Cambria" w:hAnsi="Cambria" w:cs="Tahoma"/>
          <w:b/>
          <w:bCs/>
          <w:sz w:val="22"/>
          <w:szCs w:val="22"/>
        </w:rPr>
      </w:pPr>
      <w:r w:rsidRPr="0084110A">
        <w:rPr>
          <w:rFonts w:ascii="Cambria" w:hAnsi="Cambria" w:cs="Tahoma"/>
          <w:b/>
          <w:bCs/>
          <w:sz w:val="22"/>
          <w:szCs w:val="22"/>
        </w:rPr>
        <w:t>To highlight the validity and reliability of AI in academic assessment</w:t>
      </w:r>
    </w:p>
    <w:p w14:paraId="1F526FC7"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("Artificial Intelligence" OR "AI" OR "Machine Learning")</w:t>
      </w:r>
    </w:p>
    <w:p w14:paraId="3896DA91"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AND ("Educational Assessment" OR "Assessment System" OR "Automated Grading")</w:t>
      </w:r>
    </w:p>
    <w:p w14:paraId="0E4BCC23" w14:textId="77777777" w:rsidR="0084110A" w:rsidRPr="0084110A" w:rsidRDefault="0084110A" w:rsidP="0084110A">
      <w:pPr>
        <w:pStyle w:val="BodyText"/>
        <w:spacing w:after="0"/>
        <w:jc w:val="center"/>
        <w:rPr>
          <w:rFonts w:ascii="Cambria" w:hAnsi="Cambria" w:cs="Tahoma"/>
          <w:sz w:val="22"/>
          <w:szCs w:val="22"/>
        </w:rPr>
      </w:pPr>
      <w:r w:rsidRPr="0084110A">
        <w:rPr>
          <w:rFonts w:ascii="Cambria" w:hAnsi="Cambria" w:cs="Tahoma"/>
          <w:sz w:val="22"/>
          <w:szCs w:val="22"/>
        </w:rPr>
        <w:t>AND ("Validity" OR "Reliability" OR "Transparency")</w:t>
      </w:r>
    </w:p>
    <w:p w14:paraId="0CE31DEE" w14:textId="77777777" w:rsidR="0084110A" w:rsidRPr="0084110A" w:rsidRDefault="0084110A" w:rsidP="0084110A">
      <w:pPr>
        <w:pStyle w:val="BodyText"/>
        <w:spacing w:after="0"/>
        <w:rPr>
          <w:rFonts w:ascii="Cambria" w:hAnsi="Cambria" w:cs="Tahoma"/>
          <w:sz w:val="22"/>
          <w:szCs w:val="22"/>
        </w:rPr>
      </w:pPr>
      <w:r w:rsidRPr="0084110A">
        <w:rPr>
          <w:rFonts w:ascii="Cambria" w:hAnsi="Cambria" w:cs="Tahoma"/>
          <w:sz w:val="22"/>
          <w:szCs w:val="22"/>
        </w:rPr>
        <w:t xml:space="preserve">The initial data obtained was 15 from 1997-2025, but after filtering with the same criteria, data was obtained with a total of </w:t>
      </w:r>
      <w:r w:rsidRPr="0084110A">
        <w:rPr>
          <w:rFonts w:ascii="Cambria" w:hAnsi="Cambria" w:cs="Tahoma"/>
          <w:b/>
          <w:bCs/>
          <w:sz w:val="22"/>
          <w:szCs w:val="22"/>
        </w:rPr>
        <w:t xml:space="preserve">14 articles </w:t>
      </w:r>
      <w:r w:rsidRPr="0084110A">
        <w:rPr>
          <w:rFonts w:ascii="Cambria" w:hAnsi="Cambria" w:cs="Tahoma"/>
          <w:sz w:val="22"/>
          <w:szCs w:val="22"/>
        </w:rPr>
        <w:t xml:space="preserve">from 2015-2025. </w:t>
      </w:r>
    </w:p>
    <w:p w14:paraId="7FFFE450" w14:textId="77777777" w:rsidR="0084110A" w:rsidRPr="0084110A" w:rsidRDefault="0084110A" w:rsidP="0084110A">
      <w:pPr>
        <w:pStyle w:val="BodyText"/>
        <w:spacing w:after="0"/>
        <w:jc w:val="both"/>
        <w:rPr>
          <w:rFonts w:ascii="Cambria" w:hAnsi="Cambria" w:cs="Tahoma"/>
          <w:sz w:val="22"/>
          <w:szCs w:val="22"/>
        </w:rPr>
      </w:pPr>
      <w:r w:rsidRPr="0084110A">
        <w:rPr>
          <w:rFonts w:ascii="Cambria" w:hAnsi="Cambria" w:cs="Tahoma"/>
          <w:sz w:val="22"/>
          <w:szCs w:val="22"/>
        </w:rPr>
        <w:t xml:space="preserve">From the above data, it is exported to CSV, then CSV is inserted into </w:t>
      </w:r>
      <w:r w:rsidRPr="0084110A">
        <w:rPr>
          <w:rFonts w:ascii="Cambria" w:hAnsi="Cambria" w:cs="Tahoma"/>
          <w:b/>
          <w:bCs/>
          <w:sz w:val="22"/>
          <w:szCs w:val="22"/>
        </w:rPr>
        <w:t>the Open refine</w:t>
      </w:r>
      <w:r w:rsidRPr="0084110A">
        <w:rPr>
          <w:rFonts w:ascii="Cambria" w:hAnsi="Cambria" w:cs="Tahoma"/>
          <w:sz w:val="22"/>
          <w:szCs w:val="22"/>
        </w:rPr>
        <w:t xml:space="preserve"> </w:t>
      </w:r>
      <w:proofErr w:type="gramStart"/>
      <w:r w:rsidRPr="0084110A">
        <w:rPr>
          <w:rFonts w:ascii="Cambria" w:hAnsi="Cambria" w:cs="Tahoma"/>
          <w:sz w:val="22"/>
          <w:szCs w:val="22"/>
        </w:rPr>
        <w:t>data  to</w:t>
      </w:r>
      <w:proofErr w:type="gramEnd"/>
      <w:r w:rsidRPr="0084110A">
        <w:rPr>
          <w:rFonts w:ascii="Cambria" w:hAnsi="Cambria" w:cs="Tahoma"/>
          <w:sz w:val="22"/>
          <w:szCs w:val="22"/>
        </w:rPr>
        <w:t xml:space="preserve"> filter out duplicate data. From the total searches above, 110+2+14=126 articles. </w:t>
      </w:r>
    </w:p>
    <w:p w14:paraId="16E6BB63" w14:textId="77777777" w:rsidR="0084110A" w:rsidRPr="0084110A" w:rsidRDefault="0084110A" w:rsidP="0084110A">
      <w:pPr>
        <w:pStyle w:val="BodyText"/>
        <w:spacing w:after="0"/>
        <w:jc w:val="both"/>
        <w:rPr>
          <w:rFonts w:ascii="Cambria" w:hAnsi="Cambria" w:cs="Tahoma"/>
          <w:b/>
          <w:bCs/>
          <w:sz w:val="22"/>
          <w:szCs w:val="22"/>
        </w:rPr>
      </w:pPr>
      <w:r w:rsidRPr="0084110A">
        <w:rPr>
          <w:rFonts w:ascii="Cambria" w:hAnsi="Cambria" w:cs="Tahoma"/>
          <w:b/>
          <w:bCs/>
          <w:sz w:val="22"/>
          <w:szCs w:val="22"/>
        </w:rPr>
        <w:t>Reduce duplicate data</w:t>
      </w:r>
    </w:p>
    <w:p w14:paraId="2CAF9537" w14:textId="6A84E901" w:rsidR="0084110A" w:rsidRPr="0084110A" w:rsidRDefault="0084110A" w:rsidP="0084110A">
      <w:pPr>
        <w:pStyle w:val="BodyText"/>
        <w:spacing w:after="0"/>
        <w:jc w:val="both"/>
        <w:rPr>
          <w:rFonts w:ascii="Cambria" w:hAnsi="Cambria" w:cs="Tahoma"/>
          <w:sz w:val="22"/>
          <w:szCs w:val="22"/>
        </w:rPr>
      </w:pPr>
      <w:r w:rsidRPr="0084110A">
        <w:rPr>
          <w:rFonts w:ascii="Cambria" w:hAnsi="Cambria" w:cs="Tahoma"/>
          <w:sz w:val="22"/>
          <w:szCs w:val="22"/>
        </w:rPr>
        <w:t xml:space="preserve">With the use of data from the 3 files of the search results of the keywords above that are exported, it is compressed zip and then entered into </w:t>
      </w:r>
      <w:r w:rsidRPr="0084110A">
        <w:rPr>
          <w:rFonts w:ascii="Cambria" w:hAnsi="Cambria" w:cs="Tahoma"/>
          <w:b/>
          <w:bCs/>
          <w:sz w:val="22"/>
          <w:szCs w:val="22"/>
        </w:rPr>
        <w:t xml:space="preserve">open refine. </w:t>
      </w:r>
      <w:r w:rsidRPr="0084110A">
        <w:rPr>
          <w:rFonts w:ascii="Cambria" w:hAnsi="Cambria" w:cs="Tahoma"/>
          <w:sz w:val="22"/>
          <w:szCs w:val="22"/>
        </w:rPr>
        <w:t>This application is used to filter data especially to see whether or not the data obtained from search results is there</w:t>
      </w:r>
      <w:r w:rsidR="00D10010">
        <w:rPr>
          <w:rFonts w:ascii="Cambria" w:hAnsi="Cambria" w:cs="Tahoma"/>
          <w:sz w:val="22"/>
          <w:szCs w:val="22"/>
        </w:rPr>
        <w:t xml:space="preserve"> </w:t>
      </w:r>
      <w:r w:rsidR="00D10010">
        <w:rPr>
          <w:rFonts w:ascii="Cambria" w:hAnsi="Cambria" w:cs="Tahoma"/>
          <w:sz w:val="22"/>
          <w:szCs w:val="22"/>
        </w:rPr>
        <w:fldChar w:fldCharType="begin" w:fldLock="1"/>
      </w:r>
      <w:r w:rsidR="00D10010">
        <w:rPr>
          <w:rFonts w:ascii="Cambria" w:hAnsi="Cambria" w:cs="Tahoma"/>
          <w:sz w:val="22"/>
          <w:szCs w:val="22"/>
        </w:rPr>
        <w:instrText>ADDIN CSL_CITATION {"citationItems":[{"id":"ITEM-1","itemData":{"ISSN":"23046775","abstract":"Nowadays, the importance of bibliographic databases (DBs) has increased enormously, as they are the main providers of publication metadata and bibliometric indicators universally used both for research assessment practices and for performing daily tasks. Because the reliability of these tasks firstly depends on the data source, all users of the DBs should be able to choose the most suitable one. Web of Science (WoS) and Scopus are the two main bibliographic DBs. The comprehensive evaluation of the DBs' coverage is practically impossible without extensive bibliometric analyses or literature reviews, but most DBs users do not have bibliometric competence and/or are not willing to invest additional time for such evaluations. Apart from that, the convenience of the DB's interface, performance, provided impact indicators and additional tools may also influence the users' choice. The main goal of this work is to provide all of the potential users with an all‐inclusive description of the two main bibliographic DBs by gathering the findings that are presented in the most recent literature and information provided by the owners of the DBs at one place. This overview should aid all stakeholders employing publication and citation data in selecting the most suitable DB.","author":[{"dropping-particle":"","family":"Pranckutė","given":"Raminta","non-dropping-particle":"","parse-names":false,"suffix":""}],"container-title":"Publications","id":"ITEM-1","issue":"1","issued":{"date-parts":[["2021"]]},"page":"1-59","title":"Scopus and Web of Science stands out for systematic reviews, offering comprehensive coverage across disciplines, including journals, conferences, and patents","type":"article-journal","volume":"9"},"uris":["http://www.mendeley.com/documents/?uuid=c573b9b5-0fc7-4422-a595-328135058a70"]}],"mendeley":{"formattedCitation":"(Pranckutė, 2021)","plainTextFormattedCitation":"(Pranckutė, 2021)","previouslyFormattedCitation":"(Pranckutė, 2021)"},"properties":{"noteIndex":0},"schema":"https://github.com/citation-style-language/schema/raw/master/csl-citation.json"}</w:instrText>
      </w:r>
      <w:r w:rsidR="00D10010">
        <w:rPr>
          <w:rFonts w:ascii="Cambria" w:hAnsi="Cambria" w:cs="Tahoma"/>
          <w:sz w:val="22"/>
          <w:szCs w:val="22"/>
        </w:rPr>
        <w:fldChar w:fldCharType="separate"/>
      </w:r>
      <w:r w:rsidR="00D10010" w:rsidRPr="00D10010">
        <w:rPr>
          <w:rFonts w:ascii="Cambria" w:hAnsi="Cambria" w:cs="Tahoma"/>
          <w:noProof/>
          <w:sz w:val="22"/>
          <w:szCs w:val="22"/>
        </w:rPr>
        <w:t>(Pranckutė, 2021)</w:t>
      </w:r>
      <w:r w:rsidR="00D10010">
        <w:rPr>
          <w:rFonts w:ascii="Cambria" w:hAnsi="Cambria" w:cs="Tahoma"/>
          <w:sz w:val="22"/>
          <w:szCs w:val="22"/>
        </w:rPr>
        <w:fldChar w:fldCharType="end"/>
      </w:r>
      <w:r w:rsidRPr="0084110A">
        <w:rPr>
          <w:rFonts w:ascii="Cambria" w:hAnsi="Cambria" w:cs="Tahoma"/>
          <w:sz w:val="22"/>
          <w:szCs w:val="22"/>
        </w:rPr>
        <w:t xml:space="preserve">. In addition, this application can also be used to </w:t>
      </w:r>
      <w:r w:rsidRPr="0084110A">
        <w:rPr>
          <w:rFonts w:ascii="Cambria" w:hAnsi="Cambria" w:cs="Tahoma"/>
          <w:b/>
          <w:bCs/>
          <w:sz w:val="22"/>
          <w:szCs w:val="22"/>
        </w:rPr>
        <w:t>eliminate keyword bias</w:t>
      </w:r>
      <w:r w:rsidRPr="0084110A">
        <w:rPr>
          <w:rFonts w:ascii="Cambria" w:hAnsi="Cambria" w:cs="Tahoma"/>
          <w:sz w:val="22"/>
          <w:szCs w:val="22"/>
        </w:rPr>
        <w:t xml:space="preserve"> contained in the data obtained where initially the data was obtained as many as 128 articles, when entered into open refine to 121 articles. </w:t>
      </w:r>
    </w:p>
    <w:p w14:paraId="66FC270F"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6C028680" wp14:editId="0EE277AC">
            <wp:extent cx="3990490" cy="2494483"/>
            <wp:effectExtent l="0" t="0" r="0" b="1270"/>
            <wp:docPr id="33383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39493" name=""/>
                    <pic:cNvPicPr/>
                  </pic:nvPicPr>
                  <pic:blipFill>
                    <a:blip r:embed="rId10"/>
                    <a:stretch>
                      <a:fillRect/>
                    </a:stretch>
                  </pic:blipFill>
                  <pic:spPr>
                    <a:xfrm>
                      <a:off x="0" y="0"/>
                      <a:ext cx="4016192" cy="2510549"/>
                    </a:xfrm>
                    <a:prstGeom prst="rect">
                      <a:avLst/>
                    </a:prstGeom>
                  </pic:spPr>
                </pic:pic>
              </a:graphicData>
            </a:graphic>
          </wp:inline>
        </w:drawing>
      </w:r>
    </w:p>
    <w:p w14:paraId="7273609C" w14:textId="3580F3C4" w:rsidR="0084110A" w:rsidRPr="0084110A" w:rsidRDefault="0084110A" w:rsidP="0084110A">
      <w:pPr>
        <w:pStyle w:val="Caption"/>
        <w:jc w:val="center"/>
        <w:rPr>
          <w:rFonts w:ascii="Cambria" w:hAnsi="Cambria"/>
          <w:i w:val="0"/>
          <w:iCs w:val="0"/>
          <w:sz w:val="22"/>
          <w:szCs w:val="22"/>
        </w:rPr>
      </w:pPr>
      <w:r>
        <w:rPr>
          <w:rFonts w:ascii="Cambria" w:hAnsi="Cambria"/>
          <w:b/>
          <w:bCs/>
          <w:i w:val="0"/>
          <w:sz w:val="22"/>
          <w:szCs w:val="22"/>
        </w:rPr>
        <w:t>Figure</w:t>
      </w:r>
      <w:r w:rsidRPr="0084110A">
        <w:rPr>
          <w:rFonts w:ascii="Cambria" w:hAnsi="Cambria"/>
          <w:b/>
          <w:bCs/>
          <w:i w:val="0"/>
          <w:sz w:val="22"/>
          <w:szCs w:val="22"/>
        </w:rPr>
        <w:t xml:space="preserve"> </w:t>
      </w:r>
      <w:r w:rsidRPr="0084110A">
        <w:rPr>
          <w:rFonts w:ascii="Cambria" w:hAnsi="Cambria"/>
          <w:b/>
          <w:bCs/>
          <w:i w:val="0"/>
          <w:iCs w:val="0"/>
          <w:sz w:val="22"/>
          <w:szCs w:val="22"/>
        </w:rPr>
        <w:fldChar w:fldCharType="begin"/>
      </w:r>
      <w:r w:rsidRPr="0084110A">
        <w:rPr>
          <w:rFonts w:ascii="Cambria" w:hAnsi="Cambria"/>
          <w:b/>
          <w:bCs/>
          <w:i w:val="0"/>
          <w:sz w:val="22"/>
          <w:szCs w:val="22"/>
        </w:rPr>
        <w:instrText xml:space="preserve"> SEQ Gambar_ \* ARABIC </w:instrText>
      </w:r>
      <w:r w:rsidRPr="0084110A">
        <w:rPr>
          <w:rFonts w:ascii="Cambria" w:hAnsi="Cambria"/>
          <w:b/>
          <w:bCs/>
          <w:i w:val="0"/>
          <w:iCs w:val="0"/>
          <w:sz w:val="22"/>
          <w:szCs w:val="22"/>
        </w:rPr>
        <w:fldChar w:fldCharType="separate"/>
      </w:r>
      <w:r w:rsidRPr="0084110A">
        <w:rPr>
          <w:rFonts w:ascii="Cambria" w:hAnsi="Cambria"/>
          <w:b/>
          <w:bCs/>
          <w:i w:val="0"/>
          <w:noProof/>
          <w:sz w:val="22"/>
          <w:szCs w:val="22"/>
        </w:rPr>
        <w:t>3</w:t>
      </w:r>
      <w:r w:rsidRPr="0084110A">
        <w:rPr>
          <w:rFonts w:ascii="Cambria" w:hAnsi="Cambria"/>
          <w:b/>
          <w:bCs/>
          <w:i w:val="0"/>
          <w:iCs w:val="0"/>
          <w:sz w:val="22"/>
          <w:szCs w:val="22"/>
        </w:rPr>
        <w:fldChar w:fldCharType="end"/>
      </w:r>
      <w:r>
        <w:rPr>
          <w:rFonts w:ascii="Cambria" w:hAnsi="Cambria"/>
          <w:b/>
          <w:bCs/>
          <w:i w:val="0"/>
          <w:iCs w:val="0"/>
          <w:sz w:val="22"/>
          <w:szCs w:val="22"/>
        </w:rPr>
        <w:t>.</w:t>
      </w:r>
      <w:r w:rsidRPr="0084110A">
        <w:rPr>
          <w:rFonts w:ascii="Cambria" w:hAnsi="Cambria"/>
          <w:i w:val="0"/>
          <w:sz w:val="22"/>
          <w:szCs w:val="22"/>
        </w:rPr>
        <w:t xml:space="preserve"> The meta data on DE/</w:t>
      </w:r>
      <w:proofErr w:type="spellStart"/>
      <w:r w:rsidRPr="0084110A">
        <w:rPr>
          <w:rFonts w:ascii="Cambria" w:hAnsi="Cambria"/>
          <w:i w:val="0"/>
          <w:sz w:val="22"/>
          <w:szCs w:val="22"/>
        </w:rPr>
        <w:t>Keword</w:t>
      </w:r>
      <w:proofErr w:type="spellEnd"/>
      <w:r w:rsidRPr="0084110A">
        <w:rPr>
          <w:rFonts w:ascii="Cambria" w:hAnsi="Cambria"/>
          <w:i w:val="0"/>
          <w:sz w:val="22"/>
          <w:szCs w:val="22"/>
        </w:rPr>
        <w:t xml:space="preserve"> is good</w:t>
      </w:r>
    </w:p>
    <w:p w14:paraId="4F4E2BAB" w14:textId="77777777" w:rsidR="0084110A" w:rsidRPr="0084110A" w:rsidRDefault="0084110A" w:rsidP="0084110A">
      <w:pPr>
        <w:pStyle w:val="BodyText"/>
        <w:rPr>
          <w:rFonts w:ascii="Cambria" w:hAnsi="Cambria" w:cs="Tahoma"/>
          <w:sz w:val="22"/>
          <w:szCs w:val="22"/>
        </w:rPr>
      </w:pPr>
      <w:r w:rsidRPr="0084110A">
        <w:rPr>
          <w:rFonts w:ascii="Cambria" w:hAnsi="Cambria" w:cs="Tahoma"/>
          <w:sz w:val="22"/>
          <w:szCs w:val="22"/>
        </w:rPr>
        <w:lastRenderedPageBreak/>
        <w:t xml:space="preserve">Furthermore, the process of interpreting </w:t>
      </w:r>
      <w:proofErr w:type="spellStart"/>
      <w:r w:rsidRPr="0084110A">
        <w:rPr>
          <w:rFonts w:ascii="Cambria" w:hAnsi="Cambria" w:cs="Tahoma"/>
          <w:sz w:val="22"/>
          <w:szCs w:val="22"/>
        </w:rPr>
        <w:t>bilometric</w:t>
      </w:r>
      <w:proofErr w:type="spellEnd"/>
      <w:r w:rsidRPr="0084110A">
        <w:rPr>
          <w:rFonts w:ascii="Cambria" w:hAnsi="Cambria" w:cs="Tahoma"/>
          <w:sz w:val="22"/>
          <w:szCs w:val="22"/>
        </w:rPr>
        <w:t xml:space="preserve"> data can be carried out using the </w:t>
      </w:r>
      <w:proofErr w:type="spellStart"/>
      <w:r w:rsidRPr="0084110A">
        <w:rPr>
          <w:rFonts w:ascii="Cambria" w:hAnsi="Cambria" w:cs="Tahoma"/>
          <w:sz w:val="22"/>
          <w:szCs w:val="22"/>
        </w:rPr>
        <w:t>Bibliosiny</w:t>
      </w:r>
      <w:proofErr w:type="spellEnd"/>
      <w:r w:rsidRPr="0084110A">
        <w:rPr>
          <w:rFonts w:ascii="Cambria" w:hAnsi="Cambria" w:cs="Tahoma"/>
          <w:sz w:val="22"/>
          <w:szCs w:val="22"/>
        </w:rPr>
        <w:t xml:space="preserve"> application as follows. Data The main information as a whole is obtained is seen in the picture.</w:t>
      </w:r>
    </w:p>
    <w:p w14:paraId="04EE27A6"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5F1D5396" wp14:editId="031C9A21">
            <wp:extent cx="3999865" cy="3499604"/>
            <wp:effectExtent l="0" t="0" r="635" b="5715"/>
            <wp:docPr id="161421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18411" name=""/>
                    <pic:cNvPicPr/>
                  </pic:nvPicPr>
                  <pic:blipFill>
                    <a:blip r:embed="rId11"/>
                    <a:stretch>
                      <a:fillRect/>
                    </a:stretch>
                  </pic:blipFill>
                  <pic:spPr>
                    <a:xfrm>
                      <a:off x="0" y="0"/>
                      <a:ext cx="4008347" cy="3507025"/>
                    </a:xfrm>
                    <a:prstGeom prst="rect">
                      <a:avLst/>
                    </a:prstGeom>
                  </pic:spPr>
                </pic:pic>
              </a:graphicData>
            </a:graphic>
          </wp:inline>
        </w:drawing>
      </w:r>
    </w:p>
    <w:p w14:paraId="3F73CDB1" w14:textId="3D891C17" w:rsidR="0084110A" w:rsidRPr="0084110A" w:rsidRDefault="0084110A" w:rsidP="0084110A">
      <w:pPr>
        <w:pStyle w:val="Caption"/>
        <w:jc w:val="center"/>
        <w:rPr>
          <w:rFonts w:ascii="Cambria" w:hAnsi="Cambria"/>
          <w:i w:val="0"/>
          <w:iCs w:val="0"/>
          <w:sz w:val="22"/>
          <w:szCs w:val="22"/>
        </w:rPr>
      </w:pPr>
      <w:r w:rsidRPr="0084110A">
        <w:rPr>
          <w:rFonts w:ascii="Cambria" w:hAnsi="Cambria"/>
          <w:b/>
          <w:bCs/>
          <w:i w:val="0"/>
          <w:sz w:val="22"/>
          <w:szCs w:val="22"/>
        </w:rPr>
        <w:t xml:space="preserve">Figure </w:t>
      </w:r>
      <w:r w:rsidRPr="0084110A">
        <w:rPr>
          <w:rFonts w:ascii="Cambria" w:hAnsi="Cambria"/>
          <w:b/>
          <w:bCs/>
          <w:i w:val="0"/>
          <w:iCs w:val="0"/>
          <w:sz w:val="22"/>
          <w:szCs w:val="22"/>
        </w:rPr>
        <w:fldChar w:fldCharType="begin"/>
      </w:r>
      <w:r w:rsidRPr="0084110A">
        <w:rPr>
          <w:rFonts w:ascii="Cambria" w:hAnsi="Cambria"/>
          <w:b/>
          <w:bCs/>
          <w:i w:val="0"/>
          <w:sz w:val="22"/>
          <w:szCs w:val="22"/>
        </w:rPr>
        <w:instrText xml:space="preserve"> SEQ Gambar_ \* ARABIC </w:instrText>
      </w:r>
      <w:r w:rsidRPr="0084110A">
        <w:rPr>
          <w:rFonts w:ascii="Cambria" w:hAnsi="Cambria"/>
          <w:b/>
          <w:bCs/>
          <w:i w:val="0"/>
          <w:iCs w:val="0"/>
          <w:sz w:val="22"/>
          <w:szCs w:val="22"/>
        </w:rPr>
        <w:fldChar w:fldCharType="separate"/>
      </w:r>
      <w:r w:rsidRPr="0084110A">
        <w:rPr>
          <w:rFonts w:ascii="Cambria" w:hAnsi="Cambria"/>
          <w:b/>
          <w:bCs/>
          <w:i w:val="0"/>
          <w:noProof/>
          <w:sz w:val="22"/>
          <w:szCs w:val="22"/>
        </w:rPr>
        <w:t>4</w:t>
      </w:r>
      <w:r w:rsidRPr="0084110A">
        <w:rPr>
          <w:rFonts w:ascii="Cambria" w:hAnsi="Cambria"/>
          <w:b/>
          <w:bCs/>
          <w:i w:val="0"/>
          <w:iCs w:val="0"/>
          <w:sz w:val="22"/>
          <w:szCs w:val="22"/>
        </w:rPr>
        <w:fldChar w:fldCharType="end"/>
      </w:r>
      <w:r w:rsidRPr="0084110A">
        <w:rPr>
          <w:rFonts w:ascii="Cambria" w:hAnsi="Cambria"/>
          <w:b/>
          <w:bCs/>
          <w:i w:val="0"/>
          <w:iCs w:val="0"/>
          <w:sz w:val="22"/>
          <w:szCs w:val="22"/>
        </w:rPr>
        <w:t>.</w:t>
      </w:r>
      <w:r w:rsidRPr="0084110A">
        <w:rPr>
          <w:rFonts w:ascii="Cambria" w:hAnsi="Cambria"/>
          <w:i w:val="0"/>
          <w:sz w:val="22"/>
          <w:szCs w:val="22"/>
        </w:rPr>
        <w:t xml:space="preserve"> Main information on the data sheet</w:t>
      </w:r>
    </w:p>
    <w:p w14:paraId="2FA68DDC" w14:textId="77777777" w:rsidR="0084110A" w:rsidRPr="0084110A" w:rsidRDefault="0084110A" w:rsidP="0084110A">
      <w:pPr>
        <w:pStyle w:val="BodyText"/>
        <w:jc w:val="both"/>
        <w:rPr>
          <w:rFonts w:ascii="Cambria" w:hAnsi="Cambria" w:cs="Tahoma"/>
          <w:sz w:val="22"/>
          <w:szCs w:val="22"/>
          <w:lang w:val="en-ID"/>
        </w:rPr>
      </w:pPr>
      <w:r w:rsidRPr="0084110A">
        <w:rPr>
          <w:rFonts w:ascii="Cambria" w:hAnsi="Cambria" w:cs="Tahoma"/>
          <w:sz w:val="22"/>
          <w:szCs w:val="22"/>
        </w:rPr>
        <w:t>The image displays a table that summarizes key information from the research data from 2016 to 2025. In this period, it was recorded that there were 121 documents used, coming from 91 different sources such as journals, books, and others. The annual growth rate of publications reaches 22.03%, which means that there is a fairly rapid increase from year to year. The average age of documents is around 2.8 years, which indicates that most documents are still relatively new. Interestingly, each document gets an average of about 12 citations, indicating that the results of this research are quite influential in their field. The total references used in the entire document reached 5,236, indicating that each document referred to multiple sources and had a solid foundation.</w:t>
      </w:r>
    </w:p>
    <w:p w14:paraId="239CF269" w14:textId="77777777" w:rsidR="0084110A" w:rsidRPr="0084110A" w:rsidRDefault="0084110A" w:rsidP="0084110A">
      <w:pPr>
        <w:pStyle w:val="BodyText"/>
        <w:jc w:val="both"/>
        <w:rPr>
          <w:rFonts w:ascii="Cambria" w:hAnsi="Cambria" w:cs="Tahoma"/>
          <w:sz w:val="22"/>
          <w:szCs w:val="22"/>
          <w:lang w:val="en-ID"/>
        </w:rPr>
      </w:pPr>
      <w:r w:rsidRPr="0084110A">
        <w:rPr>
          <w:rFonts w:ascii="Cambria" w:hAnsi="Cambria" w:cs="Tahoma"/>
          <w:sz w:val="22"/>
          <w:szCs w:val="22"/>
        </w:rPr>
        <w:t>In terms of content, it found about 1,256 "Plus" keywords (which are usually added by the system to expand the topic), and 419 keywords that came directly from the author. This shows that the scope of the research topic is quite broad, but there is still a specific focus according to the author's interests. Regarding collaborations, there are 635 authors involved in the overall publication. Only 6 documents were written by one person, so it can be concluded that collaboration is common in this study. On average, there are 5 to 6 authors in one document. In addition, about 22% of the publications involved cooperation between countries, which indicates international involvement in the development of this research.</w:t>
      </w:r>
    </w:p>
    <w:p w14:paraId="570C768B" w14:textId="77777777" w:rsidR="0084110A" w:rsidRPr="0084110A" w:rsidRDefault="0084110A" w:rsidP="0084110A">
      <w:pPr>
        <w:pStyle w:val="BodyText"/>
        <w:jc w:val="both"/>
        <w:rPr>
          <w:rFonts w:ascii="Cambria" w:hAnsi="Cambria" w:cs="Tahoma"/>
          <w:sz w:val="22"/>
          <w:szCs w:val="22"/>
          <w:lang w:val="en-ID"/>
        </w:rPr>
      </w:pPr>
      <w:r w:rsidRPr="0084110A">
        <w:rPr>
          <w:rFonts w:ascii="Cambria" w:hAnsi="Cambria" w:cs="Tahoma"/>
          <w:sz w:val="22"/>
          <w:szCs w:val="22"/>
        </w:rPr>
        <w:t>When viewed from the type of documents, most of them are in the form of articles (82 documents), followed by conference papers (32), and the rest in the form of literature reviews (7). This shows that research results are more published in the form of scientific articles and conference presentations than in literature reviews. Overall, these data illustrate that over the past almost decade, publications in this field have been evolving, largely collaborative, have a wide range of topic coverage, and have had considerable impact in the scientific community. The graph below the table provides a visual overview of how these publication trends have evolved from year to year.</w:t>
      </w:r>
    </w:p>
    <w:p w14:paraId="142C8884" w14:textId="77777777" w:rsidR="0084110A" w:rsidRPr="00D32CAD" w:rsidRDefault="0084110A" w:rsidP="0084110A">
      <w:pPr>
        <w:pStyle w:val="BodyText"/>
        <w:jc w:val="center"/>
        <w:rPr>
          <w:rFonts w:ascii="Tahoma" w:hAnsi="Tahoma" w:cs="Tahoma"/>
          <w:i/>
          <w:iCs/>
          <w:sz w:val="22"/>
          <w:szCs w:val="22"/>
        </w:rPr>
      </w:pPr>
    </w:p>
    <w:p w14:paraId="0B7DF783" w14:textId="77777777" w:rsidR="0084110A" w:rsidRDefault="0084110A" w:rsidP="001E06D2">
      <w:pPr>
        <w:pStyle w:val="BodyText"/>
        <w:keepNext/>
        <w:spacing w:after="0"/>
        <w:jc w:val="center"/>
      </w:pPr>
      <w:r w:rsidRPr="00D32CAD">
        <w:rPr>
          <w:rFonts w:ascii="Tahoma" w:hAnsi="Tahoma" w:cs="Tahoma"/>
          <w:i/>
          <w:iCs/>
          <w:noProof/>
          <w:sz w:val="22"/>
          <w:szCs w:val="22"/>
        </w:rPr>
        <w:lastRenderedPageBreak/>
        <w:drawing>
          <wp:inline distT="0" distB="0" distL="0" distR="0" wp14:anchorId="7B51A865" wp14:editId="18B41892">
            <wp:extent cx="3807790" cy="1989734"/>
            <wp:effectExtent l="0" t="0" r="2540" b="0"/>
            <wp:docPr id="936754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54290" name=""/>
                    <pic:cNvPicPr/>
                  </pic:nvPicPr>
                  <pic:blipFill>
                    <a:blip r:embed="rId12"/>
                    <a:stretch>
                      <a:fillRect/>
                    </a:stretch>
                  </pic:blipFill>
                  <pic:spPr>
                    <a:xfrm>
                      <a:off x="0" y="0"/>
                      <a:ext cx="3858951" cy="2016468"/>
                    </a:xfrm>
                    <a:prstGeom prst="rect">
                      <a:avLst/>
                    </a:prstGeom>
                  </pic:spPr>
                </pic:pic>
              </a:graphicData>
            </a:graphic>
          </wp:inline>
        </w:drawing>
      </w:r>
    </w:p>
    <w:p w14:paraId="7A8D21F8" w14:textId="133CC04B" w:rsidR="0084110A" w:rsidRPr="001E06D2" w:rsidRDefault="001E06D2" w:rsidP="001E06D2">
      <w:pPr>
        <w:pStyle w:val="Caption"/>
        <w:spacing w:after="0"/>
        <w:jc w:val="center"/>
        <w:rPr>
          <w:rFonts w:ascii="Cambria" w:hAnsi="Cambria"/>
          <w:i w:val="0"/>
          <w:iCs w:val="0"/>
          <w:sz w:val="22"/>
          <w:szCs w:val="22"/>
        </w:rPr>
      </w:pPr>
      <w:r>
        <w:rPr>
          <w:rFonts w:ascii="Cambria" w:hAnsi="Cambria"/>
          <w:b/>
          <w:bCs/>
          <w:i w:val="0"/>
          <w:sz w:val="22"/>
          <w:szCs w:val="22"/>
        </w:rPr>
        <w:t>Figure</w:t>
      </w:r>
      <w:r w:rsidR="0084110A" w:rsidRPr="001E06D2">
        <w:rPr>
          <w:rFonts w:ascii="Cambria" w:hAnsi="Cambria"/>
          <w:b/>
          <w:bCs/>
          <w:i w:val="0"/>
          <w:sz w:val="22"/>
          <w:szCs w:val="22"/>
        </w:rPr>
        <w:t xml:space="preserve"> </w:t>
      </w:r>
      <w:r w:rsidR="0084110A" w:rsidRPr="001E06D2">
        <w:rPr>
          <w:rFonts w:ascii="Cambria" w:hAnsi="Cambria"/>
          <w:b/>
          <w:bCs/>
          <w:i w:val="0"/>
          <w:iCs w:val="0"/>
          <w:sz w:val="22"/>
          <w:szCs w:val="22"/>
        </w:rPr>
        <w:fldChar w:fldCharType="begin"/>
      </w:r>
      <w:r w:rsidR="0084110A" w:rsidRPr="001E06D2">
        <w:rPr>
          <w:rFonts w:ascii="Cambria" w:hAnsi="Cambria"/>
          <w:b/>
          <w:bCs/>
          <w:i w:val="0"/>
          <w:sz w:val="22"/>
          <w:szCs w:val="22"/>
        </w:rPr>
        <w:instrText xml:space="preserve"> SEQ Gambar_ \* ARABIC </w:instrText>
      </w:r>
      <w:r w:rsidR="0084110A" w:rsidRPr="001E06D2">
        <w:rPr>
          <w:rFonts w:ascii="Cambria" w:hAnsi="Cambria"/>
          <w:b/>
          <w:bCs/>
          <w:i w:val="0"/>
          <w:iCs w:val="0"/>
          <w:sz w:val="22"/>
          <w:szCs w:val="22"/>
        </w:rPr>
        <w:fldChar w:fldCharType="separate"/>
      </w:r>
      <w:r w:rsidR="0084110A" w:rsidRPr="001E06D2">
        <w:rPr>
          <w:rFonts w:ascii="Cambria" w:hAnsi="Cambria"/>
          <w:b/>
          <w:bCs/>
          <w:i w:val="0"/>
          <w:noProof/>
          <w:sz w:val="22"/>
          <w:szCs w:val="22"/>
        </w:rPr>
        <w:t>5</w:t>
      </w:r>
      <w:r w:rsidR="0084110A" w:rsidRPr="001E06D2">
        <w:rPr>
          <w:rFonts w:ascii="Cambria" w:hAnsi="Cambria"/>
          <w:b/>
          <w:bCs/>
          <w:i w:val="0"/>
          <w:iCs w:val="0"/>
          <w:sz w:val="22"/>
          <w:szCs w:val="22"/>
        </w:rPr>
        <w:fldChar w:fldCharType="end"/>
      </w:r>
      <w:r>
        <w:rPr>
          <w:rFonts w:ascii="Cambria" w:hAnsi="Cambria"/>
          <w:b/>
          <w:bCs/>
          <w:i w:val="0"/>
          <w:iCs w:val="0"/>
          <w:sz w:val="22"/>
          <w:szCs w:val="22"/>
        </w:rPr>
        <w:t>.</w:t>
      </w:r>
      <w:r w:rsidR="0084110A" w:rsidRPr="001E06D2">
        <w:rPr>
          <w:rFonts w:ascii="Cambria" w:hAnsi="Cambria"/>
          <w:i w:val="0"/>
          <w:sz w:val="22"/>
          <w:szCs w:val="22"/>
        </w:rPr>
        <w:t xml:space="preserve"> Year-over-year growth chart.</w:t>
      </w:r>
    </w:p>
    <w:p w14:paraId="3004BEA9" w14:textId="1C29291E" w:rsidR="0084110A" w:rsidRPr="001E06D2" w:rsidRDefault="0084110A" w:rsidP="001E06D2">
      <w:pPr>
        <w:pStyle w:val="BodyText"/>
        <w:rPr>
          <w:rFonts w:ascii="Cambria" w:hAnsi="Cambria" w:cs="Tahoma"/>
          <w:sz w:val="22"/>
          <w:szCs w:val="22"/>
        </w:rPr>
      </w:pPr>
      <w:r w:rsidRPr="001E06D2">
        <w:rPr>
          <w:rFonts w:ascii="Cambria" w:hAnsi="Cambria" w:cs="Tahoma"/>
          <w:sz w:val="22"/>
          <w:szCs w:val="22"/>
        </w:rPr>
        <w:t xml:space="preserve">It can be shown by the distribution of the data table as below. </w:t>
      </w:r>
    </w:p>
    <w:p w14:paraId="41131796" w14:textId="1CA9CA20" w:rsidR="0084110A" w:rsidRPr="001E06D2" w:rsidRDefault="0084110A" w:rsidP="001E06D2">
      <w:pPr>
        <w:pStyle w:val="Caption"/>
        <w:keepNext/>
        <w:spacing w:before="0" w:after="0"/>
        <w:jc w:val="center"/>
        <w:rPr>
          <w:rFonts w:ascii="Cambria" w:hAnsi="Cambria"/>
          <w:i w:val="0"/>
          <w:iCs w:val="0"/>
          <w:sz w:val="22"/>
          <w:szCs w:val="22"/>
        </w:rPr>
      </w:pPr>
      <w:r w:rsidRPr="001E06D2">
        <w:rPr>
          <w:rFonts w:ascii="Cambria" w:hAnsi="Cambria"/>
          <w:b/>
          <w:bCs/>
          <w:i w:val="0"/>
          <w:sz w:val="22"/>
          <w:szCs w:val="22"/>
        </w:rPr>
        <w:t xml:space="preserve">Table </w:t>
      </w:r>
      <w:r w:rsidRPr="001E06D2">
        <w:rPr>
          <w:rFonts w:ascii="Cambria" w:hAnsi="Cambria"/>
          <w:b/>
          <w:bCs/>
          <w:i w:val="0"/>
          <w:iCs w:val="0"/>
          <w:sz w:val="22"/>
          <w:szCs w:val="22"/>
        </w:rPr>
        <w:fldChar w:fldCharType="begin"/>
      </w:r>
      <w:r w:rsidRPr="001E06D2">
        <w:rPr>
          <w:rFonts w:ascii="Cambria" w:hAnsi="Cambria"/>
          <w:b/>
          <w:bCs/>
          <w:i w:val="0"/>
          <w:sz w:val="22"/>
          <w:szCs w:val="22"/>
        </w:rPr>
        <w:instrText xml:space="preserve"> SEQ Tabel \* ARABIC </w:instrText>
      </w:r>
      <w:r w:rsidRPr="001E06D2">
        <w:rPr>
          <w:rFonts w:ascii="Cambria" w:hAnsi="Cambria"/>
          <w:b/>
          <w:bCs/>
          <w:i w:val="0"/>
          <w:iCs w:val="0"/>
          <w:sz w:val="22"/>
          <w:szCs w:val="22"/>
        </w:rPr>
        <w:fldChar w:fldCharType="separate"/>
      </w:r>
      <w:r w:rsidRPr="001E06D2">
        <w:rPr>
          <w:rFonts w:ascii="Cambria" w:hAnsi="Cambria"/>
          <w:b/>
          <w:bCs/>
          <w:i w:val="0"/>
          <w:noProof/>
          <w:sz w:val="22"/>
          <w:szCs w:val="22"/>
        </w:rPr>
        <w:t>1</w:t>
      </w:r>
      <w:r w:rsidRPr="001E06D2">
        <w:rPr>
          <w:rFonts w:ascii="Cambria" w:hAnsi="Cambria"/>
          <w:b/>
          <w:bCs/>
          <w:i w:val="0"/>
          <w:iCs w:val="0"/>
          <w:sz w:val="22"/>
          <w:szCs w:val="22"/>
        </w:rPr>
        <w:fldChar w:fldCharType="end"/>
      </w:r>
      <w:r w:rsidR="001E06D2">
        <w:rPr>
          <w:rFonts w:ascii="Cambria" w:hAnsi="Cambria"/>
          <w:b/>
          <w:bCs/>
          <w:i w:val="0"/>
          <w:iCs w:val="0"/>
          <w:sz w:val="22"/>
          <w:szCs w:val="22"/>
        </w:rPr>
        <w:t>.</w:t>
      </w:r>
      <w:r w:rsidRPr="001E06D2">
        <w:rPr>
          <w:rFonts w:ascii="Cambria" w:hAnsi="Cambria"/>
          <w:i w:val="0"/>
          <w:sz w:val="22"/>
          <w:szCs w:val="22"/>
        </w:rPr>
        <w:t xml:space="preserve"> Yearly growth.</w:t>
      </w:r>
    </w:p>
    <w:p w14:paraId="147CA631" w14:textId="77777777" w:rsidR="0084110A" w:rsidRPr="00D32CAD" w:rsidRDefault="0084110A" w:rsidP="001E06D2">
      <w:pPr>
        <w:pStyle w:val="BodyText"/>
        <w:spacing w:after="0"/>
        <w:jc w:val="center"/>
        <w:rPr>
          <w:rFonts w:ascii="Tahoma" w:hAnsi="Tahoma" w:cs="Tahoma"/>
          <w:i/>
          <w:iCs/>
          <w:sz w:val="22"/>
          <w:szCs w:val="22"/>
        </w:rPr>
      </w:pPr>
      <w:r w:rsidRPr="00D32CAD">
        <w:rPr>
          <w:rFonts w:ascii="Tahoma" w:hAnsi="Tahoma" w:cs="Tahoma"/>
          <w:i/>
          <w:iCs/>
          <w:noProof/>
          <w:sz w:val="22"/>
          <w:szCs w:val="22"/>
        </w:rPr>
        <w:drawing>
          <wp:inline distT="0" distB="0" distL="0" distR="0" wp14:anchorId="14A9E6AE" wp14:editId="468A3C57">
            <wp:extent cx="4689043" cy="1454805"/>
            <wp:effectExtent l="0" t="0" r="0" b="0"/>
            <wp:docPr id="188096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62354" name=""/>
                    <pic:cNvPicPr/>
                  </pic:nvPicPr>
                  <pic:blipFill>
                    <a:blip r:embed="rId13"/>
                    <a:stretch>
                      <a:fillRect/>
                    </a:stretch>
                  </pic:blipFill>
                  <pic:spPr>
                    <a:xfrm>
                      <a:off x="0" y="0"/>
                      <a:ext cx="4739026" cy="1470313"/>
                    </a:xfrm>
                    <a:prstGeom prst="rect">
                      <a:avLst/>
                    </a:prstGeom>
                  </pic:spPr>
                </pic:pic>
              </a:graphicData>
            </a:graphic>
          </wp:inline>
        </w:drawing>
      </w:r>
    </w:p>
    <w:p w14:paraId="0D007155" w14:textId="77777777" w:rsidR="0084110A" w:rsidRPr="001E06D2" w:rsidRDefault="0084110A" w:rsidP="001E06D2">
      <w:pPr>
        <w:pStyle w:val="BodyText"/>
        <w:jc w:val="both"/>
        <w:rPr>
          <w:sz w:val="22"/>
          <w:szCs w:val="22"/>
          <w:lang w:val="en-ID"/>
        </w:rPr>
      </w:pPr>
      <w:r w:rsidRPr="001E06D2">
        <w:rPr>
          <w:sz w:val="22"/>
          <w:szCs w:val="22"/>
        </w:rPr>
        <w:t>Based on the graph and table 1 above shown, we can see an increasing trend in the number of scientific publications from year to year. At the beginning of the period, precisely in 2016, the number of articles published was still very small, only one or two. But from 2017 to 2021, it can be seen that there is a steady growth every year, the number of publications continues to increase slowly. The peak occurred in 2022, where the number of articles jumped sharply to more than 30 publications. This was the most productive year during that period. But after that, in 2023 and 2024, the chart shows a fairly significant decline. The number of articles published has dropped quite drastically compared to the previous year.</w:t>
      </w:r>
    </w:p>
    <w:p w14:paraId="650880F3" w14:textId="77777777" w:rsidR="0084110A" w:rsidRPr="001E06D2" w:rsidRDefault="0084110A" w:rsidP="001E06D2">
      <w:pPr>
        <w:pStyle w:val="BodyText"/>
        <w:jc w:val="both"/>
        <w:rPr>
          <w:sz w:val="22"/>
          <w:szCs w:val="22"/>
          <w:lang w:val="en-ID"/>
        </w:rPr>
      </w:pPr>
      <w:r w:rsidRPr="001E06D2">
        <w:rPr>
          <w:sz w:val="22"/>
          <w:szCs w:val="22"/>
        </w:rPr>
        <w:t>From this pattern, we can conclude that there was an explosion of research activity in 202. Maybe because of greater support, increased funding, or research focus that was indeed high at that time. While the decline in the following years could be due to reduced resources, a shift in research focus, or other external factors that influence. Even so, in general, the trend that looks positive remains positive. The production of scientific articles tends to increase when viewed in the overall time span, and this indicates good progress in research activities in the field.</w:t>
      </w:r>
    </w:p>
    <w:p w14:paraId="1247D787" w14:textId="16DEC3CB" w:rsidR="0084110A" w:rsidRPr="001E06D2" w:rsidRDefault="0084110A" w:rsidP="001E06D2">
      <w:pPr>
        <w:pStyle w:val="BodyText"/>
        <w:spacing w:after="0"/>
        <w:rPr>
          <w:sz w:val="22"/>
          <w:szCs w:val="22"/>
        </w:rPr>
      </w:pPr>
    </w:p>
    <w:p w14:paraId="69240313"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7AF75F90" wp14:editId="3795259B">
            <wp:extent cx="3935578" cy="1969759"/>
            <wp:effectExtent l="0" t="0" r="8255" b="0"/>
            <wp:docPr id="255802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02593" name=""/>
                    <pic:cNvPicPr/>
                  </pic:nvPicPr>
                  <pic:blipFill rotWithShape="1">
                    <a:blip r:embed="rId14"/>
                    <a:srcRect t="3448"/>
                    <a:stretch/>
                  </pic:blipFill>
                  <pic:spPr bwMode="auto">
                    <a:xfrm>
                      <a:off x="0" y="0"/>
                      <a:ext cx="3957929" cy="1980946"/>
                    </a:xfrm>
                    <a:prstGeom prst="rect">
                      <a:avLst/>
                    </a:prstGeom>
                    <a:ln>
                      <a:noFill/>
                    </a:ln>
                    <a:extLst>
                      <a:ext uri="{53640926-AAD7-44D8-BBD7-CCE9431645EC}">
                        <a14:shadowObscured xmlns:a14="http://schemas.microsoft.com/office/drawing/2010/main"/>
                      </a:ext>
                    </a:extLst>
                  </pic:spPr>
                </pic:pic>
              </a:graphicData>
            </a:graphic>
          </wp:inline>
        </w:drawing>
      </w:r>
    </w:p>
    <w:p w14:paraId="2596D01D" w14:textId="30559867" w:rsidR="0084110A" w:rsidRPr="001E06D2" w:rsidRDefault="001E06D2" w:rsidP="0084110A">
      <w:pPr>
        <w:pStyle w:val="Caption"/>
        <w:jc w:val="center"/>
        <w:rPr>
          <w:rFonts w:ascii="Cambria" w:hAnsi="Cambria"/>
          <w:i w:val="0"/>
          <w:iCs w:val="0"/>
          <w:sz w:val="22"/>
          <w:szCs w:val="22"/>
        </w:rPr>
      </w:pPr>
      <w:r>
        <w:rPr>
          <w:rFonts w:ascii="Cambria" w:hAnsi="Cambria"/>
          <w:b/>
          <w:bCs/>
          <w:i w:val="0"/>
          <w:sz w:val="22"/>
          <w:szCs w:val="22"/>
        </w:rPr>
        <w:t>Figure</w:t>
      </w:r>
      <w:r w:rsidR="0084110A" w:rsidRPr="001E06D2">
        <w:rPr>
          <w:rFonts w:ascii="Cambria" w:hAnsi="Cambria"/>
          <w:b/>
          <w:bCs/>
          <w:i w:val="0"/>
          <w:sz w:val="22"/>
          <w:szCs w:val="22"/>
        </w:rPr>
        <w:t xml:space="preserve"> </w:t>
      </w:r>
      <w:r w:rsidR="0084110A" w:rsidRPr="001E06D2">
        <w:rPr>
          <w:rFonts w:ascii="Cambria" w:hAnsi="Cambria"/>
          <w:b/>
          <w:bCs/>
          <w:i w:val="0"/>
          <w:iCs w:val="0"/>
          <w:sz w:val="22"/>
          <w:szCs w:val="22"/>
        </w:rPr>
        <w:fldChar w:fldCharType="begin"/>
      </w:r>
      <w:r w:rsidR="0084110A" w:rsidRPr="001E06D2">
        <w:rPr>
          <w:rFonts w:ascii="Cambria" w:hAnsi="Cambria"/>
          <w:b/>
          <w:bCs/>
          <w:i w:val="0"/>
          <w:sz w:val="22"/>
          <w:szCs w:val="22"/>
        </w:rPr>
        <w:instrText xml:space="preserve"> SEQ Gambar_ \* ARABIC </w:instrText>
      </w:r>
      <w:r w:rsidR="0084110A" w:rsidRPr="001E06D2">
        <w:rPr>
          <w:rFonts w:ascii="Cambria" w:hAnsi="Cambria"/>
          <w:b/>
          <w:bCs/>
          <w:i w:val="0"/>
          <w:iCs w:val="0"/>
          <w:sz w:val="22"/>
          <w:szCs w:val="22"/>
        </w:rPr>
        <w:fldChar w:fldCharType="separate"/>
      </w:r>
      <w:r w:rsidR="0084110A" w:rsidRPr="001E06D2">
        <w:rPr>
          <w:rFonts w:ascii="Cambria" w:hAnsi="Cambria"/>
          <w:b/>
          <w:bCs/>
          <w:i w:val="0"/>
          <w:noProof/>
          <w:sz w:val="22"/>
          <w:szCs w:val="22"/>
        </w:rPr>
        <w:t>6</w:t>
      </w:r>
      <w:r w:rsidR="0084110A" w:rsidRPr="001E06D2">
        <w:rPr>
          <w:rFonts w:ascii="Cambria" w:hAnsi="Cambria"/>
          <w:b/>
          <w:bCs/>
          <w:i w:val="0"/>
          <w:iCs w:val="0"/>
          <w:sz w:val="22"/>
          <w:szCs w:val="22"/>
        </w:rPr>
        <w:fldChar w:fldCharType="end"/>
      </w:r>
      <w:r>
        <w:rPr>
          <w:rFonts w:ascii="Cambria" w:hAnsi="Cambria"/>
          <w:b/>
          <w:bCs/>
          <w:i w:val="0"/>
          <w:iCs w:val="0"/>
          <w:sz w:val="22"/>
          <w:szCs w:val="22"/>
        </w:rPr>
        <w:t>.</w:t>
      </w:r>
      <w:r w:rsidR="0084110A" w:rsidRPr="001E06D2">
        <w:rPr>
          <w:rFonts w:ascii="Cambria" w:hAnsi="Cambria"/>
          <w:i w:val="0"/>
          <w:sz w:val="22"/>
          <w:szCs w:val="22"/>
        </w:rPr>
        <w:t xml:space="preserve"> Annual Citation Chart</w:t>
      </w:r>
    </w:p>
    <w:p w14:paraId="044D61C4" w14:textId="34042E20" w:rsidR="0084110A" w:rsidRPr="001E06D2" w:rsidRDefault="0084110A" w:rsidP="001E06D2">
      <w:pPr>
        <w:pStyle w:val="BodyText"/>
        <w:rPr>
          <w:rFonts w:ascii="Cambria" w:hAnsi="Cambria" w:cs="Tahoma"/>
          <w:sz w:val="22"/>
          <w:szCs w:val="22"/>
        </w:rPr>
      </w:pPr>
      <w:r w:rsidRPr="001E06D2">
        <w:rPr>
          <w:rFonts w:ascii="Cambria" w:hAnsi="Cambria" w:cs="Tahoma"/>
          <w:sz w:val="22"/>
          <w:szCs w:val="22"/>
        </w:rPr>
        <w:t>It can be explained in the form of a table distribution as below.</w:t>
      </w:r>
    </w:p>
    <w:p w14:paraId="27AC3D8C" w14:textId="1F6A3DDF" w:rsidR="0084110A" w:rsidRPr="001E06D2" w:rsidRDefault="0084110A" w:rsidP="0084110A">
      <w:pPr>
        <w:pStyle w:val="Caption"/>
        <w:keepNext/>
        <w:jc w:val="center"/>
        <w:rPr>
          <w:rFonts w:ascii="Cambria" w:hAnsi="Cambria"/>
          <w:i w:val="0"/>
          <w:iCs w:val="0"/>
          <w:sz w:val="22"/>
          <w:szCs w:val="22"/>
        </w:rPr>
      </w:pPr>
      <w:r w:rsidRPr="001E06D2">
        <w:rPr>
          <w:rFonts w:ascii="Cambria" w:hAnsi="Cambria"/>
          <w:b/>
          <w:bCs/>
          <w:i w:val="0"/>
          <w:sz w:val="22"/>
          <w:szCs w:val="22"/>
        </w:rPr>
        <w:lastRenderedPageBreak/>
        <w:t xml:space="preserve">Table </w:t>
      </w:r>
      <w:r w:rsidRPr="001E06D2">
        <w:rPr>
          <w:rFonts w:ascii="Cambria" w:hAnsi="Cambria"/>
          <w:b/>
          <w:bCs/>
          <w:i w:val="0"/>
          <w:iCs w:val="0"/>
          <w:sz w:val="22"/>
          <w:szCs w:val="22"/>
        </w:rPr>
        <w:fldChar w:fldCharType="begin"/>
      </w:r>
      <w:r w:rsidRPr="001E06D2">
        <w:rPr>
          <w:rFonts w:ascii="Cambria" w:hAnsi="Cambria"/>
          <w:b/>
          <w:bCs/>
          <w:i w:val="0"/>
          <w:sz w:val="22"/>
          <w:szCs w:val="22"/>
        </w:rPr>
        <w:instrText xml:space="preserve"> SEQ Tabel \* ARABIC </w:instrText>
      </w:r>
      <w:r w:rsidRPr="001E06D2">
        <w:rPr>
          <w:rFonts w:ascii="Cambria" w:hAnsi="Cambria"/>
          <w:b/>
          <w:bCs/>
          <w:i w:val="0"/>
          <w:iCs w:val="0"/>
          <w:sz w:val="22"/>
          <w:szCs w:val="22"/>
        </w:rPr>
        <w:fldChar w:fldCharType="separate"/>
      </w:r>
      <w:r w:rsidRPr="001E06D2">
        <w:rPr>
          <w:rFonts w:ascii="Cambria" w:hAnsi="Cambria"/>
          <w:b/>
          <w:bCs/>
          <w:i w:val="0"/>
          <w:noProof/>
          <w:sz w:val="22"/>
          <w:szCs w:val="22"/>
        </w:rPr>
        <w:t>2</w:t>
      </w:r>
      <w:r w:rsidRPr="001E06D2">
        <w:rPr>
          <w:rFonts w:ascii="Cambria" w:hAnsi="Cambria"/>
          <w:b/>
          <w:bCs/>
          <w:i w:val="0"/>
          <w:iCs w:val="0"/>
          <w:sz w:val="22"/>
          <w:szCs w:val="22"/>
        </w:rPr>
        <w:fldChar w:fldCharType="end"/>
      </w:r>
      <w:r w:rsidR="001E06D2">
        <w:rPr>
          <w:rFonts w:ascii="Cambria" w:hAnsi="Cambria"/>
          <w:b/>
          <w:bCs/>
          <w:i w:val="0"/>
          <w:iCs w:val="0"/>
          <w:sz w:val="22"/>
          <w:szCs w:val="22"/>
        </w:rPr>
        <w:t>.</w:t>
      </w:r>
      <w:r w:rsidRPr="001E06D2">
        <w:rPr>
          <w:rFonts w:ascii="Cambria" w:hAnsi="Cambria"/>
          <w:i w:val="0"/>
          <w:sz w:val="22"/>
          <w:szCs w:val="22"/>
        </w:rPr>
        <w:t xml:space="preserve"> Annual Citation</w:t>
      </w:r>
    </w:p>
    <w:p w14:paraId="15C1F72F" w14:textId="77777777" w:rsidR="0084110A" w:rsidRPr="00D32CAD" w:rsidRDefault="0084110A" w:rsidP="0084110A">
      <w:pPr>
        <w:pStyle w:val="BodyText"/>
        <w:jc w:val="center"/>
        <w:rPr>
          <w:rFonts w:ascii="Tahoma" w:hAnsi="Tahoma" w:cs="Tahoma"/>
          <w:i/>
          <w:iCs/>
          <w:sz w:val="22"/>
          <w:szCs w:val="22"/>
        </w:rPr>
      </w:pPr>
      <w:r w:rsidRPr="00D32CAD">
        <w:rPr>
          <w:rFonts w:ascii="Tahoma" w:hAnsi="Tahoma" w:cs="Tahoma"/>
          <w:i/>
          <w:iCs/>
          <w:noProof/>
          <w:sz w:val="22"/>
          <w:szCs w:val="22"/>
        </w:rPr>
        <w:drawing>
          <wp:inline distT="0" distB="0" distL="0" distR="0" wp14:anchorId="2883436D" wp14:editId="7A0CC1FB">
            <wp:extent cx="4623207" cy="1442777"/>
            <wp:effectExtent l="0" t="0" r="6350" b="5080"/>
            <wp:docPr id="402101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01294" name=""/>
                    <pic:cNvPicPr/>
                  </pic:nvPicPr>
                  <pic:blipFill>
                    <a:blip r:embed="rId15"/>
                    <a:stretch>
                      <a:fillRect/>
                    </a:stretch>
                  </pic:blipFill>
                  <pic:spPr>
                    <a:xfrm>
                      <a:off x="0" y="0"/>
                      <a:ext cx="4660765" cy="1454498"/>
                    </a:xfrm>
                    <a:prstGeom prst="rect">
                      <a:avLst/>
                    </a:prstGeom>
                  </pic:spPr>
                </pic:pic>
              </a:graphicData>
            </a:graphic>
          </wp:inline>
        </w:drawing>
      </w:r>
    </w:p>
    <w:p w14:paraId="4D3478F3" w14:textId="77777777" w:rsidR="0084110A" w:rsidRPr="001E06D2" w:rsidRDefault="0084110A" w:rsidP="0084110A">
      <w:pPr>
        <w:pStyle w:val="BodyText"/>
        <w:jc w:val="both"/>
        <w:rPr>
          <w:rFonts w:ascii="Cambria" w:hAnsi="Cambria" w:cs="Tahoma"/>
          <w:sz w:val="22"/>
          <w:szCs w:val="22"/>
          <w:lang w:val="en-ID"/>
        </w:rPr>
      </w:pPr>
      <w:r w:rsidRPr="001E06D2">
        <w:rPr>
          <w:rFonts w:ascii="Cambria" w:hAnsi="Cambria" w:cs="Tahoma"/>
          <w:sz w:val="22"/>
          <w:szCs w:val="22"/>
        </w:rPr>
        <w:t>Figure 6 The graph and table 2 shown provide an overview of the production of scientific articles each year, by looking at several important aspects, such as the average citations per article (</w:t>
      </w:r>
      <w:proofErr w:type="spellStart"/>
      <w:r w:rsidRPr="001E06D2">
        <w:rPr>
          <w:rFonts w:ascii="Cambria" w:hAnsi="Cambria" w:cs="Tahoma"/>
          <w:sz w:val="22"/>
          <w:szCs w:val="22"/>
        </w:rPr>
        <w:t>MeanTCperArt</w:t>
      </w:r>
      <w:proofErr w:type="spellEnd"/>
      <w:r w:rsidRPr="001E06D2">
        <w:rPr>
          <w:rFonts w:ascii="Cambria" w:hAnsi="Cambria" w:cs="Tahoma"/>
          <w:sz w:val="22"/>
          <w:szCs w:val="22"/>
        </w:rPr>
        <w:t>), the number of articles published (N), the average citations per year (</w:t>
      </w:r>
      <w:proofErr w:type="spellStart"/>
      <w:r w:rsidRPr="001E06D2">
        <w:rPr>
          <w:rFonts w:ascii="Cambria" w:hAnsi="Cambria" w:cs="Tahoma"/>
          <w:sz w:val="22"/>
          <w:szCs w:val="22"/>
        </w:rPr>
        <w:t>MeanTCperYear</w:t>
      </w:r>
      <w:proofErr w:type="spellEnd"/>
      <w:r w:rsidRPr="001E06D2">
        <w:rPr>
          <w:rFonts w:ascii="Cambria" w:hAnsi="Cambria" w:cs="Tahoma"/>
          <w:sz w:val="22"/>
          <w:szCs w:val="22"/>
        </w:rPr>
        <w:t>), and the number of years the article can be cited (</w:t>
      </w:r>
      <w:proofErr w:type="spellStart"/>
      <w:r w:rsidRPr="001E06D2">
        <w:rPr>
          <w:rFonts w:ascii="Cambria" w:hAnsi="Cambria" w:cs="Tahoma"/>
          <w:sz w:val="22"/>
          <w:szCs w:val="22"/>
        </w:rPr>
        <w:t>CitableYears</w:t>
      </w:r>
      <w:proofErr w:type="spellEnd"/>
      <w:r w:rsidRPr="001E06D2">
        <w:rPr>
          <w:rFonts w:ascii="Cambria" w:hAnsi="Cambria" w:cs="Tahoma"/>
          <w:sz w:val="22"/>
          <w:szCs w:val="22"/>
        </w:rPr>
        <w:t>).</w:t>
      </w:r>
    </w:p>
    <w:p w14:paraId="7110E8ED" w14:textId="77777777" w:rsidR="0084110A" w:rsidRPr="001E06D2" w:rsidRDefault="0084110A" w:rsidP="0084110A">
      <w:pPr>
        <w:pStyle w:val="BodyText"/>
        <w:jc w:val="both"/>
        <w:rPr>
          <w:rFonts w:ascii="Cambria" w:hAnsi="Cambria" w:cs="Tahoma"/>
          <w:sz w:val="22"/>
          <w:szCs w:val="22"/>
          <w:lang w:val="en-ID"/>
        </w:rPr>
      </w:pPr>
      <w:r w:rsidRPr="001E06D2">
        <w:rPr>
          <w:rFonts w:ascii="Cambria" w:hAnsi="Cambria" w:cs="Tahoma"/>
          <w:sz w:val="22"/>
          <w:szCs w:val="22"/>
        </w:rPr>
        <w:t>In 2016, there was only one article published, but interestingly the article had a considerable impact with an average of 11 citations. After that, the number of articles began to increase by two articles in 2017 and five articles in 2018. However, although the number of articles increased, the average citations actually decreased, for example to around 10.89 in 2017 and dropped further to 3.70 in 2018.</w:t>
      </w:r>
    </w:p>
    <w:p w14:paraId="30C4C675" w14:textId="77777777" w:rsidR="0084110A" w:rsidRPr="001E06D2" w:rsidRDefault="0084110A" w:rsidP="0084110A">
      <w:pPr>
        <w:pStyle w:val="BodyText"/>
        <w:jc w:val="both"/>
        <w:rPr>
          <w:rFonts w:ascii="Cambria" w:hAnsi="Cambria" w:cs="Tahoma"/>
          <w:sz w:val="22"/>
          <w:szCs w:val="22"/>
          <w:lang w:val="en-ID"/>
        </w:rPr>
      </w:pPr>
      <w:r w:rsidRPr="001E06D2">
        <w:rPr>
          <w:rFonts w:ascii="Cambria" w:hAnsi="Cambria" w:cs="Tahoma"/>
          <w:sz w:val="22"/>
          <w:szCs w:val="22"/>
        </w:rPr>
        <w:t>A jump in the number of articles was also seen in the following years, such as in 2020 and especially in 2021, which recorded 15 articles with an average of citations per year of around 3.71. But the most striking is from 2022 to 2024, when the number of articles rose sharply by 23 articles in 2022 and reached 38 articles in 2024. Unfortunately, this increase in number is not accompanied by a commensurate impact of citations. For example, in 2024, even though many articles are published, the average citation will actually drop to 1.56 per article.</w:t>
      </w:r>
    </w:p>
    <w:p w14:paraId="402F6ABB" w14:textId="2310338C" w:rsidR="0084110A" w:rsidRPr="001E06D2" w:rsidRDefault="0084110A" w:rsidP="001E06D2">
      <w:pPr>
        <w:pStyle w:val="BodyText"/>
        <w:jc w:val="both"/>
        <w:rPr>
          <w:rFonts w:ascii="Cambria" w:hAnsi="Cambria" w:cs="Tahoma"/>
          <w:sz w:val="22"/>
          <w:szCs w:val="22"/>
          <w:lang w:val="en-ID"/>
        </w:rPr>
      </w:pPr>
      <w:r w:rsidRPr="001E06D2">
        <w:rPr>
          <w:rFonts w:ascii="Cambria" w:hAnsi="Cambria" w:cs="Tahoma"/>
          <w:sz w:val="22"/>
          <w:szCs w:val="22"/>
        </w:rPr>
        <w:t>The year 2025 also shows a similar thing. There were only 6 articles published, and the average citation was even lower, which was 0.83. This may be because the articles are still new, so they haven't been cited much. Overall, this data shows that although productivity in writing articles increases from year to year, not all of them have a high impact in terms of citations.</w:t>
      </w:r>
    </w:p>
    <w:p w14:paraId="761E5B2D"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7C835C03" wp14:editId="187B5AD4">
            <wp:extent cx="4784140" cy="2311811"/>
            <wp:effectExtent l="0" t="0" r="0" b="0"/>
            <wp:docPr id="132303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3731" name=""/>
                    <pic:cNvPicPr/>
                  </pic:nvPicPr>
                  <pic:blipFill rotWithShape="1">
                    <a:blip r:embed="rId16"/>
                    <a:srcRect t="16926"/>
                    <a:stretch/>
                  </pic:blipFill>
                  <pic:spPr bwMode="auto">
                    <a:xfrm>
                      <a:off x="0" y="0"/>
                      <a:ext cx="4801913" cy="2320400"/>
                    </a:xfrm>
                    <a:prstGeom prst="rect">
                      <a:avLst/>
                    </a:prstGeom>
                    <a:ln>
                      <a:noFill/>
                    </a:ln>
                    <a:extLst>
                      <a:ext uri="{53640926-AAD7-44D8-BBD7-CCE9431645EC}">
                        <a14:shadowObscured xmlns:a14="http://schemas.microsoft.com/office/drawing/2010/main"/>
                      </a:ext>
                    </a:extLst>
                  </pic:spPr>
                </pic:pic>
              </a:graphicData>
            </a:graphic>
          </wp:inline>
        </w:drawing>
      </w:r>
    </w:p>
    <w:p w14:paraId="059CC5FC" w14:textId="518E7074"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 xml:space="preserve">Figure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7</w:t>
      </w:r>
      <w:r w:rsidR="0084110A" w:rsidRPr="00624D23">
        <w:rPr>
          <w:rFonts w:ascii="Cambria" w:hAnsi="Cambria"/>
          <w:b/>
          <w:bCs/>
          <w:i w:val="0"/>
          <w:iCs w:val="0"/>
          <w:sz w:val="22"/>
          <w:szCs w:val="22"/>
        </w:rPr>
        <w:fldChar w:fldCharType="end"/>
      </w:r>
      <w:r w:rsidRPr="00624D23">
        <w:rPr>
          <w:rFonts w:ascii="Cambria" w:hAnsi="Cambria"/>
          <w:b/>
          <w:bCs/>
          <w:i w:val="0"/>
          <w:iCs w:val="0"/>
          <w:sz w:val="22"/>
          <w:szCs w:val="22"/>
        </w:rPr>
        <w:t>.</w:t>
      </w:r>
      <w:r w:rsidR="0084110A" w:rsidRPr="00624D23">
        <w:rPr>
          <w:rFonts w:ascii="Cambria" w:hAnsi="Cambria"/>
          <w:i w:val="0"/>
          <w:sz w:val="22"/>
          <w:szCs w:val="22"/>
        </w:rPr>
        <w:t xml:space="preserve"> Three-Field Plot diagram</w:t>
      </w:r>
    </w:p>
    <w:p w14:paraId="1D24025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Figure 7 above shows a Three-Field Plot diagram, which illustrates the relationship between three important elements of research: frequently cited scientific references (CR), author names (AU), and research topics or themes discussed (DE). This diagram helps us see how the three are interconnected, who wrote what, and where they referred.</w:t>
      </w:r>
    </w:p>
    <w:p w14:paraId="097B96A9"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In the reference section (CR), there are two names that stand out the most because they are most often cited, namely </w:t>
      </w:r>
      <w:proofErr w:type="spellStart"/>
      <w:r w:rsidRPr="00624D23">
        <w:rPr>
          <w:rFonts w:ascii="Cambria" w:hAnsi="Cambria" w:cs="Tahoma"/>
          <w:sz w:val="22"/>
          <w:szCs w:val="22"/>
        </w:rPr>
        <w:t>Aleven</w:t>
      </w:r>
      <w:proofErr w:type="spellEnd"/>
      <w:r w:rsidRPr="00624D23">
        <w:rPr>
          <w:rFonts w:ascii="Cambria" w:hAnsi="Cambria" w:cs="Tahoma"/>
          <w:sz w:val="22"/>
          <w:szCs w:val="22"/>
        </w:rPr>
        <w:t xml:space="preserve"> V. and Koedinger K. R. with their work on metacognitive strategies in computer-based learning, as well as Devlin J. and his team who are famous for the BERT model, which </w:t>
      </w:r>
      <w:r w:rsidRPr="00624D23">
        <w:rPr>
          <w:rFonts w:ascii="Cambria" w:hAnsi="Cambria" w:cs="Tahoma"/>
          <w:sz w:val="22"/>
          <w:szCs w:val="22"/>
        </w:rPr>
        <w:lastRenderedPageBreak/>
        <w:t>is a preliminary training method for transformers in language processing. These two references are the main references for many studies in this field.</w:t>
      </w:r>
    </w:p>
    <w:p w14:paraId="654F81F2"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If we look at the author section (AU), some of the names that often appear are </w:t>
      </w:r>
      <w:proofErr w:type="spellStart"/>
      <w:r w:rsidRPr="00624D23">
        <w:rPr>
          <w:rFonts w:ascii="Cambria" w:hAnsi="Cambria" w:cs="Tahoma"/>
          <w:sz w:val="22"/>
          <w:szCs w:val="22"/>
        </w:rPr>
        <w:t>Cimolin</w:t>
      </w:r>
      <w:proofErr w:type="spellEnd"/>
      <w:r w:rsidRPr="00624D23">
        <w:rPr>
          <w:rFonts w:ascii="Cambria" w:hAnsi="Cambria" w:cs="Tahoma"/>
          <w:sz w:val="22"/>
          <w:szCs w:val="22"/>
        </w:rPr>
        <w:t xml:space="preserve"> V., Li X., Azzaro C., and Chimenti A. They are known to be active in writing in topics such as machine learning, automatic assessment, and deep learning. This means that they contribute a lot to research involving advanced technologies in the world of education and data analysis.</w:t>
      </w:r>
    </w:p>
    <w:p w14:paraId="363915BA"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Meanwhile, in the topic (DE) section, themes that often appear include machine learning, automated assessment, deep learning, and artificial intelligence (AI). This shows that the authors are indeed focused on the use of modern technology in education ranging from automatic assessment to natural language processing using AI.</w:t>
      </w:r>
    </w:p>
    <w:p w14:paraId="4703613A"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this diagram shows the close relationship between the authors, the references they use, and the topics they raise. They are all interconnected in one common thread: the application of smart technology to support the learning and evaluation process in education.</w:t>
      </w:r>
    </w:p>
    <w:p w14:paraId="4594B25E" w14:textId="4B9035ED" w:rsidR="0084110A" w:rsidRPr="00624D23" w:rsidRDefault="0084110A" w:rsidP="00624D23">
      <w:pPr>
        <w:pStyle w:val="BodyText"/>
        <w:jc w:val="both"/>
        <w:rPr>
          <w:rFonts w:ascii="Cambria" w:hAnsi="Cambria" w:cs="Tahoma"/>
          <w:sz w:val="22"/>
          <w:szCs w:val="22"/>
        </w:rPr>
      </w:pPr>
      <w:r w:rsidRPr="00624D23">
        <w:rPr>
          <w:rFonts w:ascii="Cambria" w:hAnsi="Cambria" w:cs="Tahoma"/>
          <w:sz w:val="22"/>
          <w:szCs w:val="22"/>
        </w:rPr>
        <w:t xml:space="preserve">For the most relevant sources in can be as shown in figure 8 below. </w:t>
      </w:r>
    </w:p>
    <w:p w14:paraId="748B8A1A"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51EDBD0B" wp14:editId="0CDE69DF">
            <wp:extent cx="4923129" cy="2134145"/>
            <wp:effectExtent l="0" t="0" r="0" b="0"/>
            <wp:docPr id="2120901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01732" name=""/>
                    <pic:cNvPicPr/>
                  </pic:nvPicPr>
                  <pic:blipFill rotWithShape="1">
                    <a:blip r:embed="rId17"/>
                    <a:srcRect t="21575"/>
                    <a:stretch/>
                  </pic:blipFill>
                  <pic:spPr bwMode="auto">
                    <a:xfrm>
                      <a:off x="0" y="0"/>
                      <a:ext cx="4938919" cy="2140990"/>
                    </a:xfrm>
                    <a:prstGeom prst="rect">
                      <a:avLst/>
                    </a:prstGeom>
                    <a:ln>
                      <a:noFill/>
                    </a:ln>
                    <a:extLst>
                      <a:ext uri="{53640926-AAD7-44D8-BBD7-CCE9431645EC}">
                        <a14:shadowObscured xmlns:a14="http://schemas.microsoft.com/office/drawing/2010/main"/>
                      </a:ext>
                    </a:extLst>
                  </pic:spPr>
                </pic:pic>
              </a:graphicData>
            </a:graphic>
          </wp:inline>
        </w:drawing>
      </w:r>
    </w:p>
    <w:p w14:paraId="283DEC00" w14:textId="24D38C06"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 xml:space="preserve">Figure 8. </w:t>
      </w:r>
      <w:r w:rsidR="0084110A" w:rsidRPr="00624D23">
        <w:rPr>
          <w:rFonts w:ascii="Cambria" w:hAnsi="Cambria"/>
          <w:i w:val="0"/>
          <w:sz w:val="22"/>
          <w:szCs w:val="22"/>
        </w:rPr>
        <w:t xml:space="preserve"> Most relevant Source</w:t>
      </w:r>
    </w:p>
    <w:p w14:paraId="398F3A4C"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From the data shown in figure 8, </w:t>
      </w:r>
      <w:r w:rsidRPr="00624D23">
        <w:rPr>
          <w:rFonts w:ascii="Cambria" w:hAnsi="Cambria" w:cs="Tahoma"/>
          <w:b/>
          <w:bCs/>
          <w:sz w:val="22"/>
          <w:szCs w:val="22"/>
        </w:rPr>
        <w:t>the journal SENSORS</w:t>
      </w:r>
      <w:r w:rsidRPr="00624D23">
        <w:rPr>
          <w:rFonts w:ascii="Cambria" w:hAnsi="Cambria" w:cs="Tahoma"/>
          <w:sz w:val="22"/>
          <w:szCs w:val="22"/>
        </w:rPr>
        <w:t xml:space="preserve"> was recorded as the most published articles in this study, with a total </w:t>
      </w:r>
      <w:r w:rsidRPr="00624D23">
        <w:rPr>
          <w:rFonts w:ascii="Cambria" w:hAnsi="Cambria" w:cs="Tahoma"/>
          <w:b/>
          <w:bCs/>
          <w:sz w:val="22"/>
          <w:szCs w:val="22"/>
        </w:rPr>
        <w:t>of 5 documents</w:t>
      </w:r>
      <w:r w:rsidRPr="00624D23">
        <w:rPr>
          <w:rFonts w:ascii="Cambria" w:hAnsi="Cambria" w:cs="Tahoma"/>
          <w:sz w:val="22"/>
          <w:szCs w:val="22"/>
        </w:rPr>
        <w:t xml:space="preserve">. This shows that the journal has an important role in the development of the topics discussed. The other three journals that are also quite prominent are </w:t>
      </w:r>
      <w:r w:rsidRPr="00624D23">
        <w:rPr>
          <w:rFonts w:ascii="Cambria" w:hAnsi="Cambria" w:cs="Tahoma"/>
          <w:i/>
          <w:iCs/>
          <w:sz w:val="22"/>
          <w:szCs w:val="22"/>
        </w:rPr>
        <w:t>Applied Sciences (Switzerland),</w:t>
      </w:r>
      <w:r w:rsidRPr="00624D23">
        <w:rPr>
          <w:rFonts w:ascii="Cambria" w:hAnsi="Cambria" w:cs="Tahoma"/>
          <w:sz w:val="22"/>
          <w:szCs w:val="22"/>
        </w:rPr>
        <w:t xml:space="preserve"> </w:t>
      </w:r>
      <w:r w:rsidRPr="00624D23">
        <w:rPr>
          <w:rFonts w:ascii="Cambria" w:hAnsi="Cambria" w:cs="Tahoma"/>
          <w:i/>
          <w:iCs/>
          <w:sz w:val="22"/>
          <w:szCs w:val="22"/>
        </w:rPr>
        <w:t>Computers and Education: Artificial Intelligence</w:t>
      </w:r>
      <w:r w:rsidRPr="00624D23">
        <w:rPr>
          <w:rFonts w:ascii="Cambria" w:hAnsi="Cambria" w:cs="Tahoma"/>
          <w:sz w:val="22"/>
          <w:szCs w:val="22"/>
        </w:rPr>
        <w:t xml:space="preserve">, and </w:t>
      </w:r>
      <w:r w:rsidRPr="00624D23">
        <w:rPr>
          <w:rFonts w:ascii="Cambria" w:hAnsi="Cambria" w:cs="Tahoma"/>
          <w:i/>
          <w:iCs/>
          <w:sz w:val="22"/>
          <w:szCs w:val="22"/>
        </w:rPr>
        <w:t>the International Journal of Artificial Intelligence I</w:t>
      </w:r>
      <w:r w:rsidRPr="00624D23">
        <w:rPr>
          <w:rFonts w:ascii="Cambria" w:hAnsi="Cambria" w:cs="Tahoma"/>
          <w:sz w:val="22"/>
          <w:szCs w:val="22"/>
        </w:rPr>
        <w:t xml:space="preserve">—each contributing </w:t>
      </w:r>
      <w:r w:rsidRPr="00624D23">
        <w:rPr>
          <w:rFonts w:ascii="Cambria" w:hAnsi="Cambria" w:cs="Tahoma"/>
          <w:b/>
          <w:bCs/>
          <w:sz w:val="22"/>
          <w:szCs w:val="22"/>
        </w:rPr>
        <w:t>4 documents</w:t>
      </w:r>
      <w:r w:rsidRPr="00624D23">
        <w:rPr>
          <w:rFonts w:ascii="Cambria" w:hAnsi="Cambria" w:cs="Tahoma"/>
          <w:sz w:val="22"/>
          <w:szCs w:val="22"/>
        </w:rPr>
        <w:t>, which signifies their significant contributions in the related field.</w:t>
      </w:r>
    </w:p>
    <w:p w14:paraId="46BC4AC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In addition, there are several other journals such as </w:t>
      </w:r>
      <w:r w:rsidRPr="00624D23">
        <w:rPr>
          <w:rFonts w:ascii="Cambria" w:hAnsi="Cambria" w:cs="Tahoma"/>
          <w:i/>
          <w:iCs/>
          <w:sz w:val="22"/>
          <w:szCs w:val="22"/>
        </w:rPr>
        <w:t>IEEE Transactions on Neural Systems and Rehabilitation Engineering</w:t>
      </w:r>
      <w:r w:rsidRPr="00624D23">
        <w:rPr>
          <w:rFonts w:ascii="Cambria" w:hAnsi="Cambria" w:cs="Tahoma"/>
          <w:sz w:val="22"/>
          <w:szCs w:val="22"/>
        </w:rPr>
        <w:t xml:space="preserve">, </w:t>
      </w:r>
      <w:r w:rsidRPr="00624D23">
        <w:rPr>
          <w:rFonts w:ascii="Cambria" w:hAnsi="Cambria" w:cs="Tahoma"/>
          <w:i/>
          <w:iCs/>
          <w:sz w:val="22"/>
          <w:szCs w:val="22"/>
        </w:rPr>
        <w:t>Lecture Notes in Computer Science (including subseries),</w:t>
      </w:r>
      <w:r w:rsidRPr="00624D23">
        <w:rPr>
          <w:rFonts w:ascii="Cambria" w:hAnsi="Cambria" w:cs="Tahoma"/>
          <w:sz w:val="22"/>
          <w:szCs w:val="22"/>
        </w:rPr>
        <w:t xml:space="preserve"> and </w:t>
      </w:r>
      <w:r w:rsidRPr="00624D23">
        <w:rPr>
          <w:rFonts w:ascii="Cambria" w:hAnsi="Cambria" w:cs="Tahoma"/>
          <w:i/>
          <w:iCs/>
          <w:sz w:val="22"/>
          <w:szCs w:val="22"/>
        </w:rPr>
        <w:t>Proceedings of the International Florida Artificial Intelligence Research Society</w:t>
      </w:r>
      <w:r w:rsidRPr="00624D23">
        <w:rPr>
          <w:rFonts w:ascii="Cambria" w:hAnsi="Cambria" w:cs="Tahoma"/>
          <w:sz w:val="22"/>
          <w:szCs w:val="22"/>
        </w:rPr>
        <w:t xml:space="preserve">, which publish </w:t>
      </w:r>
      <w:r w:rsidRPr="00624D23">
        <w:rPr>
          <w:rFonts w:ascii="Cambria" w:hAnsi="Cambria" w:cs="Tahoma"/>
          <w:b/>
          <w:bCs/>
          <w:sz w:val="22"/>
          <w:szCs w:val="22"/>
        </w:rPr>
        <w:t>3 papers</w:t>
      </w:r>
      <w:r w:rsidRPr="00624D23">
        <w:rPr>
          <w:rFonts w:ascii="Cambria" w:hAnsi="Cambria" w:cs="Tahoma"/>
          <w:sz w:val="22"/>
          <w:szCs w:val="22"/>
        </w:rPr>
        <w:t xml:space="preserve"> each. Although the number is slightly lower, these journals still have a fairly important role.</w:t>
      </w:r>
    </w:p>
    <w:p w14:paraId="408E8878"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Several other journals such as </w:t>
      </w:r>
      <w:r w:rsidRPr="00624D23">
        <w:rPr>
          <w:rFonts w:ascii="Cambria" w:hAnsi="Cambria" w:cs="Tahoma"/>
          <w:i/>
          <w:iCs/>
          <w:sz w:val="22"/>
          <w:szCs w:val="22"/>
        </w:rPr>
        <w:t>BMC Bioinformatics</w:t>
      </w:r>
      <w:r w:rsidRPr="00624D23">
        <w:rPr>
          <w:rFonts w:ascii="Cambria" w:hAnsi="Cambria" w:cs="Tahoma"/>
          <w:sz w:val="22"/>
          <w:szCs w:val="22"/>
        </w:rPr>
        <w:t xml:space="preserve">, </w:t>
      </w:r>
      <w:r w:rsidRPr="00624D23">
        <w:rPr>
          <w:rFonts w:ascii="Cambria" w:hAnsi="Cambria" w:cs="Tahoma"/>
          <w:i/>
          <w:iCs/>
          <w:sz w:val="22"/>
          <w:szCs w:val="22"/>
        </w:rPr>
        <w:t>Current Medical Imaging</w:t>
      </w:r>
      <w:r w:rsidRPr="00624D23">
        <w:rPr>
          <w:rFonts w:ascii="Cambria" w:hAnsi="Cambria" w:cs="Tahoma"/>
          <w:sz w:val="22"/>
          <w:szCs w:val="22"/>
        </w:rPr>
        <w:t xml:space="preserve">, and </w:t>
      </w:r>
      <w:r w:rsidRPr="00624D23">
        <w:rPr>
          <w:rFonts w:ascii="Cambria" w:hAnsi="Cambria" w:cs="Tahoma"/>
          <w:i/>
          <w:iCs/>
          <w:sz w:val="22"/>
          <w:szCs w:val="22"/>
        </w:rPr>
        <w:t>ETS Research Report Series</w:t>
      </w:r>
      <w:r w:rsidRPr="00624D23">
        <w:rPr>
          <w:rFonts w:ascii="Cambria" w:hAnsi="Cambria" w:cs="Tahoma"/>
          <w:sz w:val="22"/>
          <w:szCs w:val="22"/>
        </w:rPr>
        <w:t xml:space="preserve"> only contributed </w:t>
      </w:r>
      <w:r w:rsidRPr="00624D23">
        <w:rPr>
          <w:rFonts w:ascii="Cambria" w:hAnsi="Cambria" w:cs="Tahoma"/>
          <w:b/>
          <w:bCs/>
          <w:sz w:val="22"/>
          <w:szCs w:val="22"/>
        </w:rPr>
        <w:t>2 articles</w:t>
      </w:r>
      <w:r w:rsidRPr="00624D23">
        <w:rPr>
          <w:rFonts w:ascii="Cambria" w:hAnsi="Cambria" w:cs="Tahoma"/>
          <w:sz w:val="22"/>
          <w:szCs w:val="22"/>
        </w:rPr>
        <w:t xml:space="preserve"> each. This shows that while they are still relevant, their contributions are not as large as the major journals mentioned earlier.</w:t>
      </w:r>
    </w:p>
    <w:p w14:paraId="37162FF2"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Overall, this data gives an idea of the most influential journals or sources of publications in this study. The </w:t>
      </w:r>
      <w:r w:rsidRPr="00624D23">
        <w:rPr>
          <w:rFonts w:ascii="Cambria" w:hAnsi="Cambria" w:cs="Tahoma"/>
          <w:i/>
          <w:iCs/>
          <w:sz w:val="22"/>
          <w:szCs w:val="22"/>
        </w:rPr>
        <w:t>journal SENSORS</w:t>
      </w:r>
      <w:r w:rsidRPr="00624D23">
        <w:rPr>
          <w:rFonts w:ascii="Cambria" w:hAnsi="Cambria" w:cs="Tahoma"/>
          <w:sz w:val="22"/>
          <w:szCs w:val="22"/>
        </w:rPr>
        <w:t xml:space="preserve"> and several other journals appear to dominate, which shows that the research topics are closely related to </w:t>
      </w:r>
      <w:r w:rsidRPr="00624D23">
        <w:rPr>
          <w:rFonts w:ascii="Cambria" w:hAnsi="Cambria" w:cs="Tahoma"/>
          <w:b/>
          <w:bCs/>
          <w:sz w:val="22"/>
          <w:szCs w:val="22"/>
        </w:rPr>
        <w:t>sensor technology, artificial intelligence in education, and computer science</w:t>
      </w:r>
      <w:r w:rsidRPr="00624D23">
        <w:rPr>
          <w:rFonts w:ascii="Cambria" w:hAnsi="Cambria" w:cs="Tahoma"/>
          <w:sz w:val="22"/>
          <w:szCs w:val="22"/>
        </w:rPr>
        <w:t>. However, the diversity of sources also shows that this field of research touches a wide range of disciplines—from engineering, education, to medicine and bioinformatics.</w:t>
      </w:r>
    </w:p>
    <w:p w14:paraId="693A3446" w14:textId="77777777" w:rsidR="0084110A" w:rsidRPr="00624D23" w:rsidRDefault="0084110A" w:rsidP="0084110A">
      <w:pPr>
        <w:pStyle w:val="BodyText"/>
        <w:jc w:val="both"/>
        <w:rPr>
          <w:rFonts w:ascii="Cambria" w:hAnsi="Cambria" w:cs="Tahoma"/>
          <w:sz w:val="22"/>
          <w:szCs w:val="22"/>
          <w:lang w:val="en-ID"/>
        </w:rPr>
      </w:pPr>
    </w:p>
    <w:p w14:paraId="78F447B4" w14:textId="7D0B061A" w:rsidR="0084110A" w:rsidRPr="00624D23" w:rsidRDefault="0084110A" w:rsidP="0084110A">
      <w:pPr>
        <w:pStyle w:val="Caption"/>
        <w:keepNext/>
        <w:jc w:val="center"/>
        <w:rPr>
          <w:rFonts w:ascii="Cambria" w:hAnsi="Cambria"/>
          <w:i w:val="0"/>
          <w:iCs w:val="0"/>
          <w:sz w:val="22"/>
          <w:szCs w:val="22"/>
        </w:rPr>
      </w:pPr>
      <w:r w:rsidRPr="00624D23">
        <w:rPr>
          <w:rFonts w:ascii="Cambria" w:hAnsi="Cambria"/>
          <w:b/>
          <w:bCs/>
          <w:i w:val="0"/>
          <w:sz w:val="22"/>
          <w:szCs w:val="22"/>
        </w:rPr>
        <w:lastRenderedPageBreak/>
        <w:t xml:space="preserve">Table </w:t>
      </w:r>
      <w:r w:rsidRPr="00624D23">
        <w:rPr>
          <w:rFonts w:ascii="Cambria" w:hAnsi="Cambria"/>
          <w:b/>
          <w:bCs/>
          <w:i w:val="0"/>
          <w:iCs w:val="0"/>
          <w:sz w:val="22"/>
          <w:szCs w:val="22"/>
        </w:rPr>
        <w:fldChar w:fldCharType="begin"/>
      </w:r>
      <w:r w:rsidRPr="00624D23">
        <w:rPr>
          <w:rFonts w:ascii="Cambria" w:hAnsi="Cambria"/>
          <w:b/>
          <w:bCs/>
          <w:i w:val="0"/>
          <w:sz w:val="22"/>
          <w:szCs w:val="22"/>
        </w:rPr>
        <w:instrText xml:space="preserve"> SEQ Tabel \* ARABIC </w:instrText>
      </w:r>
      <w:r w:rsidRPr="00624D23">
        <w:rPr>
          <w:rFonts w:ascii="Cambria" w:hAnsi="Cambria"/>
          <w:b/>
          <w:bCs/>
          <w:i w:val="0"/>
          <w:iCs w:val="0"/>
          <w:sz w:val="22"/>
          <w:szCs w:val="22"/>
        </w:rPr>
        <w:fldChar w:fldCharType="separate"/>
      </w:r>
      <w:r w:rsidRPr="00624D23">
        <w:rPr>
          <w:rFonts w:ascii="Cambria" w:hAnsi="Cambria"/>
          <w:b/>
          <w:bCs/>
          <w:i w:val="0"/>
          <w:noProof/>
          <w:sz w:val="22"/>
          <w:szCs w:val="22"/>
        </w:rPr>
        <w:t>3</w:t>
      </w:r>
      <w:r w:rsidRPr="00624D23">
        <w:rPr>
          <w:rFonts w:ascii="Cambria" w:hAnsi="Cambria"/>
          <w:b/>
          <w:bCs/>
          <w:i w:val="0"/>
          <w:iCs w:val="0"/>
          <w:sz w:val="22"/>
          <w:szCs w:val="22"/>
        </w:rPr>
        <w:fldChar w:fldCharType="end"/>
      </w:r>
      <w:r w:rsidR="00624D23">
        <w:rPr>
          <w:rFonts w:ascii="Cambria" w:hAnsi="Cambria"/>
          <w:b/>
          <w:bCs/>
          <w:i w:val="0"/>
          <w:iCs w:val="0"/>
          <w:sz w:val="22"/>
          <w:szCs w:val="22"/>
        </w:rPr>
        <w:t>.</w:t>
      </w:r>
      <w:r w:rsidRPr="00624D23">
        <w:rPr>
          <w:rFonts w:ascii="Cambria" w:hAnsi="Cambria"/>
          <w:i w:val="0"/>
          <w:sz w:val="22"/>
          <w:szCs w:val="22"/>
        </w:rPr>
        <w:t xml:space="preserve"> Sources' Local Impact</w:t>
      </w:r>
    </w:p>
    <w:p w14:paraId="4E6FC245" w14:textId="77777777" w:rsidR="0084110A" w:rsidRPr="00D32CAD" w:rsidRDefault="0084110A" w:rsidP="0084110A">
      <w:pPr>
        <w:pStyle w:val="BodyText"/>
        <w:jc w:val="center"/>
        <w:rPr>
          <w:rFonts w:ascii="Tahoma" w:hAnsi="Tahoma" w:cs="Tahoma"/>
          <w:i/>
          <w:iCs/>
          <w:sz w:val="22"/>
          <w:szCs w:val="22"/>
        </w:rPr>
      </w:pPr>
      <w:r w:rsidRPr="00D32CAD">
        <w:rPr>
          <w:rFonts w:ascii="Tahoma" w:hAnsi="Tahoma" w:cs="Tahoma"/>
          <w:i/>
          <w:iCs/>
          <w:noProof/>
          <w:sz w:val="22"/>
          <w:szCs w:val="22"/>
        </w:rPr>
        <w:drawing>
          <wp:inline distT="0" distB="0" distL="0" distR="0" wp14:anchorId="70275ACD" wp14:editId="258511DD">
            <wp:extent cx="4981651" cy="1449411"/>
            <wp:effectExtent l="0" t="0" r="0" b="0"/>
            <wp:docPr id="1421128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28001" name=""/>
                    <pic:cNvPicPr/>
                  </pic:nvPicPr>
                  <pic:blipFill rotWithShape="1">
                    <a:blip r:embed="rId18"/>
                    <a:srcRect t="27276" b="8179"/>
                    <a:stretch/>
                  </pic:blipFill>
                  <pic:spPr bwMode="auto">
                    <a:xfrm>
                      <a:off x="0" y="0"/>
                      <a:ext cx="4994285" cy="1453087"/>
                    </a:xfrm>
                    <a:prstGeom prst="rect">
                      <a:avLst/>
                    </a:prstGeom>
                    <a:ln>
                      <a:noFill/>
                    </a:ln>
                    <a:extLst>
                      <a:ext uri="{53640926-AAD7-44D8-BBD7-CCE9431645EC}">
                        <a14:shadowObscured xmlns:a14="http://schemas.microsoft.com/office/drawing/2010/main"/>
                      </a:ext>
                    </a:extLst>
                  </pic:spPr>
                </pic:pic>
              </a:graphicData>
            </a:graphic>
          </wp:inline>
        </w:drawing>
      </w:r>
    </w:p>
    <w:p w14:paraId="307CB0E7"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Based on the data from Table 3 above, it can be seen that the SENSORS journal occupies the top position as the source with the most influence. This can be seen from the highest h-index value (4), the highest g-index (5), the m-index value of 0.800, and the highest total number of citations (TC) which is 160 since it began to be published in 2021. This means that articles from these journals quickly gain attention and are recognized in the scientific community. The journal IEEE Transactions on Neural Systems and Rehabilitation Engineering also shows a strong influence, with an h-index of 3, a g-index of 3, an m-index of 0.500, and a total of 84 citations since 2020. This makes it one of the most influential sources, especially in the field of engineering and rehabilitation.</w:t>
      </w:r>
    </w:p>
    <w:p w14:paraId="3A9B4D9C"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Meanwhile, the International Journal of Artificial Intelligence in Education recorded an h-index of 3, g-index 4, and an m-index of 0.600, which indicates that this journal is quite influential in research on artificial intelligence in the world of education since 2021. Several other journals such as BMC Bioinformatics, Computers and Education: Artificial Intelligence, and ETS Research Report Series have an h-index of 2. Although the numbers are not as high as previous journals, they are still relevant and contribute to scientific discussions, particularly in their respective fields.</w:t>
      </w:r>
    </w:p>
    <w:p w14:paraId="72FD1C48"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There are also journals or proceedings such as </w:t>
      </w:r>
      <w:r w:rsidRPr="00624D23">
        <w:rPr>
          <w:rFonts w:ascii="Cambria" w:hAnsi="Cambria" w:cs="Tahoma"/>
          <w:i/>
          <w:iCs/>
          <w:sz w:val="22"/>
          <w:szCs w:val="22"/>
        </w:rPr>
        <w:t>Sensors (Switzerland)</w:t>
      </w:r>
      <w:r w:rsidRPr="00624D23">
        <w:rPr>
          <w:rFonts w:ascii="Cambria" w:hAnsi="Cambria" w:cs="Tahoma"/>
          <w:sz w:val="22"/>
          <w:szCs w:val="22"/>
        </w:rPr>
        <w:t xml:space="preserve"> and </w:t>
      </w:r>
      <w:r w:rsidRPr="00624D23">
        <w:rPr>
          <w:rFonts w:ascii="Cambria" w:hAnsi="Cambria" w:cs="Tahoma"/>
          <w:i/>
          <w:iCs/>
          <w:sz w:val="22"/>
          <w:szCs w:val="22"/>
        </w:rPr>
        <w:t>the Journal of Physics: Conference Series</w:t>
      </w:r>
      <w:r w:rsidRPr="00624D23">
        <w:rPr>
          <w:rFonts w:ascii="Cambria" w:hAnsi="Cambria" w:cs="Tahoma"/>
          <w:sz w:val="22"/>
          <w:szCs w:val="22"/>
        </w:rPr>
        <w:t xml:space="preserve"> which both have an h-index of 2, but with a number of publications and citations that are not as many as other top journals. The most recent source, the 2023 IEEE 10th International Conference on Data Science and Advanced Analytics (DSAA 2023 – Proceedings), is recorded with an h-index and g-index of 1 each, an m-index of 0.333, and a total of 5 citations. This shows that the conference is still in its early stages to build its impact in the scientific community. Overall, this data shows a variation in the level of influence between journals. SENSORS and IEEE Transactions on Neural Systems and Rehabilitation Engineering stand out as the most influential publications, while the others remain important contributions in their respective fields, albeit on a smaller scale.</w:t>
      </w:r>
    </w:p>
    <w:p w14:paraId="02227BA1" w14:textId="6334A92E" w:rsidR="0084110A" w:rsidRPr="00624D23" w:rsidRDefault="0084110A" w:rsidP="00624D23">
      <w:pPr>
        <w:pStyle w:val="BodyText"/>
        <w:jc w:val="both"/>
        <w:rPr>
          <w:rFonts w:ascii="Tahoma" w:hAnsi="Tahoma" w:cs="Tahoma"/>
          <w:sz w:val="22"/>
          <w:szCs w:val="22"/>
        </w:rPr>
      </w:pPr>
      <w:r w:rsidRPr="00624D23">
        <w:rPr>
          <w:rFonts w:ascii="Cambria" w:hAnsi="Cambria" w:cs="Tahoma"/>
          <w:sz w:val="22"/>
          <w:szCs w:val="22"/>
        </w:rPr>
        <w:t xml:space="preserve">Next is the Core Sources by </w:t>
      </w:r>
      <w:proofErr w:type="spellStart"/>
      <w:r w:rsidRPr="00624D23">
        <w:rPr>
          <w:rFonts w:ascii="Cambria" w:hAnsi="Cambria" w:cs="Tahoma"/>
          <w:sz w:val="22"/>
          <w:szCs w:val="22"/>
        </w:rPr>
        <w:t>Bradford'd</w:t>
      </w:r>
      <w:proofErr w:type="spellEnd"/>
      <w:r w:rsidRPr="00624D23">
        <w:rPr>
          <w:rFonts w:ascii="Cambria" w:hAnsi="Cambria" w:cs="Tahoma"/>
          <w:sz w:val="22"/>
          <w:szCs w:val="22"/>
        </w:rPr>
        <w:t xml:space="preserve"> Law data. This data is taken from the top 10 data. </w:t>
      </w:r>
    </w:p>
    <w:p w14:paraId="7FED765F" w14:textId="77777777" w:rsidR="0084110A" w:rsidRDefault="0084110A" w:rsidP="0084110A">
      <w:pPr>
        <w:pStyle w:val="BodyText"/>
        <w:keepNext/>
        <w:jc w:val="center"/>
      </w:pPr>
      <w:r w:rsidRPr="00D32CAD">
        <w:rPr>
          <w:rFonts w:ascii="Tahoma" w:hAnsi="Tahoma" w:cs="Tahoma"/>
          <w:i/>
          <w:iCs/>
          <w:noProof/>
          <w:sz w:val="22"/>
          <w:szCs w:val="22"/>
        </w:rPr>
        <w:drawing>
          <wp:inline distT="0" distB="0" distL="0" distR="0" wp14:anchorId="385FEFCD" wp14:editId="09E92663">
            <wp:extent cx="5084822" cy="2553004"/>
            <wp:effectExtent l="0" t="0" r="1905" b="0"/>
            <wp:docPr id="36494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44054" name=""/>
                    <pic:cNvPicPr/>
                  </pic:nvPicPr>
                  <pic:blipFill rotWithShape="1">
                    <a:blip r:embed="rId19"/>
                    <a:srcRect t="15960"/>
                    <a:stretch/>
                  </pic:blipFill>
                  <pic:spPr bwMode="auto">
                    <a:xfrm>
                      <a:off x="0" y="0"/>
                      <a:ext cx="5108873" cy="2565079"/>
                    </a:xfrm>
                    <a:prstGeom prst="rect">
                      <a:avLst/>
                    </a:prstGeom>
                    <a:ln>
                      <a:noFill/>
                    </a:ln>
                    <a:extLst>
                      <a:ext uri="{53640926-AAD7-44D8-BBD7-CCE9431645EC}">
                        <a14:shadowObscured xmlns:a14="http://schemas.microsoft.com/office/drawing/2010/main"/>
                      </a:ext>
                    </a:extLst>
                  </pic:spPr>
                </pic:pic>
              </a:graphicData>
            </a:graphic>
          </wp:inline>
        </w:drawing>
      </w:r>
    </w:p>
    <w:p w14:paraId="53E32521" w14:textId="05F28B29" w:rsidR="0084110A" w:rsidRPr="00624D23" w:rsidRDefault="00624D23" w:rsidP="0084110A">
      <w:pPr>
        <w:pStyle w:val="Caption"/>
        <w:jc w:val="center"/>
        <w:rPr>
          <w:rFonts w:ascii="Cambria" w:hAnsi="Cambria"/>
          <w:i w:val="0"/>
          <w:iCs w:val="0"/>
          <w:sz w:val="22"/>
          <w:szCs w:val="22"/>
        </w:rPr>
      </w:pPr>
      <w:r>
        <w:rPr>
          <w:rFonts w:ascii="Cambria" w:hAnsi="Cambria"/>
          <w:b/>
          <w:bCs/>
          <w:i w:val="0"/>
          <w:sz w:val="22"/>
          <w:szCs w:val="22"/>
        </w:rPr>
        <w:t>Figure</w:t>
      </w:r>
      <w:r w:rsidR="0084110A" w:rsidRPr="00624D23">
        <w:rPr>
          <w:rFonts w:ascii="Cambria" w:hAnsi="Cambria"/>
          <w:b/>
          <w:bCs/>
          <w:i w:val="0"/>
          <w:sz w:val="22"/>
          <w:szCs w:val="22"/>
        </w:rPr>
        <w:t xml:space="preserv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9</w:t>
      </w:r>
      <w:r w:rsidR="0084110A" w:rsidRPr="00624D23">
        <w:rPr>
          <w:rFonts w:ascii="Cambria" w:hAnsi="Cambria"/>
          <w:b/>
          <w:bCs/>
          <w:i w:val="0"/>
          <w:iCs w:val="0"/>
          <w:sz w:val="22"/>
          <w:szCs w:val="22"/>
        </w:rPr>
        <w:fldChar w:fldCharType="end"/>
      </w:r>
      <w:r>
        <w:rPr>
          <w:rFonts w:ascii="Cambria" w:hAnsi="Cambria"/>
          <w:b/>
          <w:bCs/>
          <w:i w:val="0"/>
          <w:iCs w:val="0"/>
          <w:sz w:val="22"/>
          <w:szCs w:val="22"/>
        </w:rPr>
        <w:t xml:space="preserve">. </w:t>
      </w:r>
      <w:r w:rsidR="0084110A" w:rsidRPr="00624D23">
        <w:rPr>
          <w:rFonts w:ascii="Cambria" w:hAnsi="Cambria"/>
          <w:i w:val="0"/>
          <w:sz w:val="22"/>
          <w:szCs w:val="22"/>
        </w:rPr>
        <w:t xml:space="preserve"> Core Sources by </w:t>
      </w:r>
      <w:proofErr w:type="spellStart"/>
      <w:r w:rsidR="0084110A" w:rsidRPr="00624D23">
        <w:rPr>
          <w:rFonts w:ascii="Cambria" w:hAnsi="Cambria"/>
          <w:i w:val="0"/>
          <w:sz w:val="22"/>
          <w:szCs w:val="22"/>
        </w:rPr>
        <w:t>Bradford'd</w:t>
      </w:r>
      <w:proofErr w:type="spellEnd"/>
      <w:r w:rsidR="0084110A" w:rsidRPr="00624D23">
        <w:rPr>
          <w:rFonts w:ascii="Cambria" w:hAnsi="Cambria"/>
          <w:i w:val="0"/>
          <w:sz w:val="22"/>
          <w:szCs w:val="22"/>
        </w:rPr>
        <w:t xml:space="preserve"> Law</w:t>
      </w:r>
    </w:p>
    <w:p w14:paraId="4C145541" w14:textId="77777777" w:rsidR="0084110A" w:rsidRPr="00D32CAD" w:rsidRDefault="0084110A" w:rsidP="0084110A">
      <w:pPr>
        <w:pStyle w:val="BodyText"/>
        <w:jc w:val="center"/>
        <w:rPr>
          <w:rFonts w:ascii="Tahoma" w:hAnsi="Tahoma" w:cs="Tahoma"/>
          <w:i/>
          <w:iCs/>
          <w:sz w:val="22"/>
          <w:szCs w:val="22"/>
        </w:rPr>
      </w:pPr>
    </w:p>
    <w:p w14:paraId="43177887"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lastRenderedPageBreak/>
        <w:t xml:space="preserve">Figure 9 shows the distribution of the main sources of scientific publications under Bradford's Law. This graph shows how scientific articles are scattered across various journals or sources, following a pattern called </w:t>
      </w:r>
      <w:r w:rsidRPr="00624D23">
        <w:rPr>
          <w:rFonts w:ascii="Cambria" w:hAnsi="Cambria" w:cs="Tahoma"/>
          <w:i/>
          <w:iCs/>
          <w:sz w:val="22"/>
          <w:szCs w:val="22"/>
        </w:rPr>
        <w:t>Bradford's Law of Scattering</w:t>
      </w:r>
      <w:r w:rsidRPr="00624D23">
        <w:rPr>
          <w:rFonts w:ascii="Cambria" w:hAnsi="Cambria" w:cs="Tahoma"/>
          <w:sz w:val="22"/>
          <w:szCs w:val="22"/>
        </w:rPr>
        <w:t>. In this graph, the horizontal axis depicts the order of sources based on logarithmic rank (</w:t>
      </w:r>
      <w:proofErr w:type="gramStart"/>
      <w:r w:rsidRPr="00624D23">
        <w:rPr>
          <w:rFonts w:ascii="Cambria" w:hAnsi="Cambria" w:cs="Tahoma"/>
          <w:sz w:val="22"/>
          <w:szCs w:val="22"/>
        </w:rPr>
        <w:t>log(</w:t>
      </w:r>
      <w:proofErr w:type="gramEnd"/>
      <w:r w:rsidRPr="00624D23">
        <w:rPr>
          <w:rFonts w:ascii="Cambria" w:hAnsi="Cambria" w:cs="Tahoma"/>
          <w:sz w:val="22"/>
          <w:szCs w:val="22"/>
        </w:rPr>
        <w:t>Rank)), and the vertical axis shows the number of articles published by each source.</w:t>
      </w:r>
    </w:p>
    <w:p w14:paraId="7677ABA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According to Bradford's principle, only a small number of core journals produce the majority of articles on a topic, while most other journals contribute only a small number of articles. This pattern is clearly visible on the chart. For example, the journal SENSORS is the most prominent because it publishes 5 articles, followed by several other journals such as </w:t>
      </w:r>
      <w:r w:rsidRPr="00624D23">
        <w:rPr>
          <w:rFonts w:ascii="Cambria" w:hAnsi="Cambria" w:cs="Tahoma"/>
          <w:i/>
          <w:iCs/>
          <w:sz w:val="22"/>
          <w:szCs w:val="22"/>
        </w:rPr>
        <w:t>Applied Sciences (Switzerland),</w:t>
      </w:r>
      <w:r w:rsidRPr="00624D23">
        <w:rPr>
          <w:rFonts w:ascii="Cambria" w:hAnsi="Cambria" w:cs="Tahoma"/>
          <w:sz w:val="22"/>
          <w:szCs w:val="22"/>
        </w:rPr>
        <w:t xml:space="preserve"> </w:t>
      </w:r>
      <w:r w:rsidRPr="00624D23">
        <w:rPr>
          <w:rFonts w:ascii="Cambria" w:hAnsi="Cambria" w:cs="Tahoma"/>
          <w:i/>
          <w:iCs/>
          <w:sz w:val="22"/>
          <w:szCs w:val="22"/>
        </w:rPr>
        <w:t>Computers and Education</w:t>
      </w:r>
      <w:r w:rsidRPr="00624D23">
        <w:rPr>
          <w:rFonts w:ascii="Cambria" w:hAnsi="Cambria" w:cs="Tahoma"/>
          <w:sz w:val="22"/>
          <w:szCs w:val="22"/>
        </w:rPr>
        <w:t xml:space="preserve">, </w:t>
      </w:r>
      <w:r w:rsidRPr="00624D23">
        <w:rPr>
          <w:rFonts w:ascii="Cambria" w:hAnsi="Cambria" w:cs="Tahoma"/>
          <w:i/>
          <w:iCs/>
          <w:sz w:val="22"/>
          <w:szCs w:val="22"/>
        </w:rPr>
        <w:t>International Journal of Artificial Intelligence</w:t>
      </w:r>
      <w:r w:rsidRPr="00624D23">
        <w:rPr>
          <w:rFonts w:ascii="Cambria" w:hAnsi="Cambria" w:cs="Tahoma"/>
          <w:sz w:val="22"/>
          <w:szCs w:val="22"/>
        </w:rPr>
        <w:t xml:space="preserve">, and </w:t>
      </w:r>
      <w:r w:rsidRPr="00624D23">
        <w:rPr>
          <w:rFonts w:ascii="Cambria" w:hAnsi="Cambria" w:cs="Tahoma"/>
          <w:i/>
          <w:iCs/>
          <w:sz w:val="22"/>
          <w:szCs w:val="22"/>
        </w:rPr>
        <w:t>IEEE Transactions on Neural Systems and Rehabilitation Engineering</w:t>
      </w:r>
      <w:r w:rsidRPr="00624D23">
        <w:rPr>
          <w:rFonts w:ascii="Cambria" w:hAnsi="Cambria" w:cs="Tahoma"/>
          <w:sz w:val="22"/>
          <w:szCs w:val="22"/>
        </w:rPr>
        <w:t>, which publish 4 articles each.</w:t>
      </w:r>
    </w:p>
    <w:p w14:paraId="68022DD7"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The journals mentioned above fall into the category of "core sources" marked on the graph with gray areas. After passing through this core group, it can be seen that the number of articles from subsequent sources decreases drastically, generally only publishing 3 articles or even fewer.</w:t>
      </w:r>
    </w:p>
    <w:p w14:paraId="36A58638"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this graph shows that most scientific publications are concentrated in a few major journals, while the rest only contribute small amounts. This is in accordance with the concept of Bradford's Law which describes that research activities in a field are usually focused on a few highly productive sources.</w:t>
      </w:r>
    </w:p>
    <w:p w14:paraId="071AE884" w14:textId="77777777" w:rsidR="0084110A" w:rsidRPr="00624D23" w:rsidRDefault="0084110A" w:rsidP="0084110A">
      <w:pPr>
        <w:pStyle w:val="BodyText"/>
        <w:jc w:val="both"/>
        <w:rPr>
          <w:rFonts w:ascii="Cambria" w:hAnsi="Cambria" w:cs="Tahoma"/>
          <w:sz w:val="22"/>
          <w:szCs w:val="22"/>
        </w:rPr>
      </w:pPr>
      <w:r w:rsidRPr="00624D23">
        <w:rPr>
          <w:rFonts w:ascii="Cambria" w:hAnsi="Cambria" w:cs="Tahoma"/>
          <w:sz w:val="22"/>
          <w:szCs w:val="22"/>
        </w:rPr>
        <w:t xml:space="preserve">Next is the Cumulate Occurrences graph data. </w:t>
      </w:r>
    </w:p>
    <w:p w14:paraId="2E56BF16" w14:textId="77777777" w:rsidR="0084110A" w:rsidRDefault="0084110A" w:rsidP="00624D23">
      <w:pPr>
        <w:pStyle w:val="BodyText"/>
        <w:keepNext/>
        <w:jc w:val="center"/>
      </w:pPr>
      <w:r w:rsidRPr="00D32CAD">
        <w:rPr>
          <w:rFonts w:ascii="Tahoma" w:hAnsi="Tahoma" w:cs="Tahoma"/>
          <w:noProof/>
          <w:sz w:val="22"/>
          <w:szCs w:val="22"/>
        </w:rPr>
        <w:drawing>
          <wp:inline distT="0" distB="0" distL="0" distR="0" wp14:anchorId="58E8A509" wp14:editId="67683CF9">
            <wp:extent cx="4725619" cy="2734397"/>
            <wp:effectExtent l="0" t="0" r="0" b="8890"/>
            <wp:docPr id="465711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11720" name=""/>
                    <pic:cNvPicPr/>
                  </pic:nvPicPr>
                  <pic:blipFill rotWithShape="1">
                    <a:blip r:embed="rId20"/>
                    <a:srcRect t="10862"/>
                    <a:stretch/>
                  </pic:blipFill>
                  <pic:spPr bwMode="auto">
                    <a:xfrm>
                      <a:off x="0" y="0"/>
                      <a:ext cx="4729413" cy="2736593"/>
                    </a:xfrm>
                    <a:prstGeom prst="rect">
                      <a:avLst/>
                    </a:prstGeom>
                    <a:ln>
                      <a:noFill/>
                    </a:ln>
                    <a:extLst>
                      <a:ext uri="{53640926-AAD7-44D8-BBD7-CCE9431645EC}">
                        <a14:shadowObscured xmlns:a14="http://schemas.microsoft.com/office/drawing/2010/main"/>
                      </a:ext>
                    </a:extLst>
                  </pic:spPr>
                </pic:pic>
              </a:graphicData>
            </a:graphic>
          </wp:inline>
        </w:drawing>
      </w:r>
    </w:p>
    <w:p w14:paraId="50ED6C22" w14:textId="02B0BA38"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 xml:space="preserve">Figure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10</w:t>
      </w:r>
      <w:r w:rsidR="0084110A" w:rsidRPr="00624D23">
        <w:rPr>
          <w:rFonts w:ascii="Cambria" w:hAnsi="Cambria"/>
          <w:b/>
          <w:bCs/>
          <w:i w:val="0"/>
          <w:iCs w:val="0"/>
          <w:sz w:val="22"/>
          <w:szCs w:val="22"/>
        </w:rPr>
        <w:fldChar w:fldCharType="end"/>
      </w:r>
      <w:r w:rsidRPr="00624D23">
        <w:rPr>
          <w:rFonts w:ascii="Cambria" w:hAnsi="Cambria"/>
          <w:b/>
          <w:bCs/>
          <w:i w:val="0"/>
          <w:iCs w:val="0"/>
          <w:sz w:val="22"/>
          <w:szCs w:val="22"/>
        </w:rPr>
        <w:t>.</w:t>
      </w:r>
      <w:r w:rsidR="0084110A" w:rsidRPr="00624D23">
        <w:rPr>
          <w:rFonts w:ascii="Cambria" w:hAnsi="Cambria"/>
          <w:i w:val="0"/>
          <w:sz w:val="22"/>
          <w:szCs w:val="22"/>
        </w:rPr>
        <w:t xml:space="preserve"> Cumulate Occurrences</w:t>
      </w:r>
    </w:p>
    <w:p w14:paraId="3F5A3695"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Figure 10 </w:t>
      </w:r>
      <w:proofErr w:type="gramStart"/>
      <w:r w:rsidRPr="00624D23">
        <w:rPr>
          <w:rFonts w:ascii="Cambria" w:hAnsi="Cambria" w:cs="Tahoma"/>
          <w:sz w:val="22"/>
          <w:szCs w:val="22"/>
        </w:rPr>
        <w:t>shows  a</w:t>
      </w:r>
      <w:proofErr w:type="gramEnd"/>
      <w:r w:rsidRPr="00624D23">
        <w:rPr>
          <w:rFonts w:ascii="Cambria" w:hAnsi="Cambria" w:cs="Tahoma"/>
          <w:sz w:val="22"/>
          <w:szCs w:val="22"/>
        </w:rPr>
        <w:t xml:space="preserve"> </w:t>
      </w:r>
      <w:r w:rsidRPr="00624D23">
        <w:rPr>
          <w:rFonts w:ascii="Cambria" w:hAnsi="Cambria" w:cs="Tahoma"/>
          <w:i/>
          <w:iCs/>
          <w:sz w:val="22"/>
          <w:szCs w:val="22"/>
        </w:rPr>
        <w:t>cumulative graph of publications</w:t>
      </w:r>
      <w:r w:rsidRPr="00624D23">
        <w:rPr>
          <w:rFonts w:ascii="Cambria" w:hAnsi="Cambria" w:cs="Tahoma"/>
          <w:sz w:val="22"/>
          <w:szCs w:val="22"/>
        </w:rPr>
        <w:t xml:space="preserve"> from various journals and conferences between 2016 and 2025. Each colored line on the graph represents one different source of publication, and shows how the number of articles from each source has increased over time. From the graph, it can be seen that the SENSORS journal (marked with a purple line) is the most prominent. Publications from this journal have been consistent since 2019 and experienced a sharp increase in 2023 and 2024, then reached a peak in 2025. This shows that SENSORS is increasingly being used as a reference and is becoming one of the main sources in this field.</w:t>
      </w:r>
    </w:p>
    <w:p w14:paraId="02ECD0F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The IEEE Journal Transactions on Neural Systems and Rehabilitation Engineering (green) also shows steady growth since it became active in 2020. Meanwhile, the International Journal of Artificial Intelligence in Education (in blue) began to see an increase in publications in the same year, although the growth was not as fast as IEEE Transactions.</w:t>
      </w:r>
    </w:p>
    <w:p w14:paraId="521A521A"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Lecture Notes in Computer Science (turquoise) also became active in 2020, but its growth slowed after a few years, indicating that while it is still relevant, its contribution is not as much as other sources. Meanwhile, the other two </w:t>
      </w:r>
      <w:proofErr w:type="gramStart"/>
      <w:r w:rsidRPr="00624D23">
        <w:rPr>
          <w:rFonts w:ascii="Cambria" w:hAnsi="Cambria" w:cs="Tahoma"/>
          <w:sz w:val="22"/>
          <w:szCs w:val="22"/>
        </w:rPr>
        <w:t>sources</w:t>
      </w:r>
      <w:proofErr w:type="gramEnd"/>
      <w:r w:rsidRPr="00624D23">
        <w:rPr>
          <w:rFonts w:ascii="Cambria" w:hAnsi="Cambria" w:cs="Tahoma"/>
          <w:sz w:val="22"/>
          <w:szCs w:val="22"/>
        </w:rPr>
        <w:t xml:space="preserve"> Computers and Education: Artificial Intelligence (orange) </w:t>
      </w:r>
      <w:r w:rsidRPr="00624D23">
        <w:rPr>
          <w:rFonts w:ascii="Cambria" w:hAnsi="Cambria" w:cs="Tahoma"/>
          <w:sz w:val="22"/>
          <w:szCs w:val="22"/>
        </w:rPr>
        <w:lastRenderedPageBreak/>
        <w:t>and FLAIRS Conference Proceedings (yellow) show slower and less active publication growth in 2023 and 2024.</w:t>
      </w:r>
    </w:p>
    <w:p w14:paraId="56CC8145"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this graph shows that SENSORS and IEEE Transactions are two of the most active and fast-growing sources in recent years, while other sources have grown more slowly or inconsistently.</w:t>
      </w:r>
    </w:p>
    <w:p w14:paraId="7E880C07"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Authors Information</w:t>
      </w:r>
    </w:p>
    <w:p w14:paraId="442368D7" w14:textId="786CF02A" w:rsidR="0084110A" w:rsidRPr="00624D23" w:rsidRDefault="0084110A" w:rsidP="00624D23">
      <w:pPr>
        <w:pStyle w:val="BodyText"/>
        <w:jc w:val="both"/>
        <w:rPr>
          <w:rFonts w:ascii="Cambria" w:hAnsi="Cambria" w:cs="Tahoma"/>
          <w:sz w:val="22"/>
          <w:szCs w:val="22"/>
        </w:rPr>
      </w:pPr>
      <w:r w:rsidRPr="00624D23">
        <w:rPr>
          <w:rFonts w:ascii="Cambria" w:hAnsi="Cambria" w:cs="Tahoma"/>
          <w:sz w:val="22"/>
          <w:szCs w:val="22"/>
        </w:rPr>
        <w:t xml:space="preserve">For Most Relevant Authors data. It can be seen in the table below. </w:t>
      </w:r>
    </w:p>
    <w:p w14:paraId="1D79CBEF" w14:textId="35DC9156" w:rsidR="0084110A" w:rsidRPr="00624D23" w:rsidRDefault="0084110A" w:rsidP="0084110A">
      <w:pPr>
        <w:pStyle w:val="Caption"/>
        <w:keepNext/>
        <w:jc w:val="center"/>
        <w:rPr>
          <w:rFonts w:ascii="Cambria" w:hAnsi="Cambria"/>
          <w:i w:val="0"/>
          <w:iCs w:val="0"/>
          <w:sz w:val="22"/>
          <w:szCs w:val="22"/>
        </w:rPr>
      </w:pPr>
      <w:r w:rsidRPr="00624D23">
        <w:rPr>
          <w:rFonts w:ascii="Cambria" w:hAnsi="Cambria"/>
          <w:b/>
          <w:bCs/>
          <w:i w:val="0"/>
          <w:sz w:val="22"/>
          <w:szCs w:val="22"/>
        </w:rPr>
        <w:t xml:space="preserve">Table </w:t>
      </w:r>
      <w:r w:rsidRPr="00624D23">
        <w:rPr>
          <w:rFonts w:ascii="Cambria" w:hAnsi="Cambria"/>
          <w:b/>
          <w:bCs/>
          <w:i w:val="0"/>
          <w:iCs w:val="0"/>
          <w:sz w:val="22"/>
          <w:szCs w:val="22"/>
        </w:rPr>
        <w:fldChar w:fldCharType="begin"/>
      </w:r>
      <w:r w:rsidRPr="00624D23">
        <w:rPr>
          <w:rFonts w:ascii="Cambria" w:hAnsi="Cambria"/>
          <w:b/>
          <w:bCs/>
          <w:i w:val="0"/>
          <w:sz w:val="22"/>
          <w:szCs w:val="22"/>
        </w:rPr>
        <w:instrText xml:space="preserve"> SEQ Tabel \* ARABIC </w:instrText>
      </w:r>
      <w:r w:rsidRPr="00624D23">
        <w:rPr>
          <w:rFonts w:ascii="Cambria" w:hAnsi="Cambria"/>
          <w:b/>
          <w:bCs/>
          <w:i w:val="0"/>
          <w:iCs w:val="0"/>
          <w:sz w:val="22"/>
          <w:szCs w:val="22"/>
        </w:rPr>
        <w:fldChar w:fldCharType="separate"/>
      </w:r>
      <w:r w:rsidRPr="00624D23">
        <w:rPr>
          <w:rFonts w:ascii="Cambria" w:hAnsi="Cambria"/>
          <w:b/>
          <w:bCs/>
          <w:i w:val="0"/>
          <w:noProof/>
          <w:sz w:val="22"/>
          <w:szCs w:val="22"/>
        </w:rPr>
        <w:t>4</w:t>
      </w:r>
      <w:r w:rsidRPr="00624D23">
        <w:rPr>
          <w:rFonts w:ascii="Cambria" w:hAnsi="Cambria"/>
          <w:b/>
          <w:bCs/>
          <w:i w:val="0"/>
          <w:iCs w:val="0"/>
          <w:sz w:val="22"/>
          <w:szCs w:val="22"/>
        </w:rPr>
        <w:fldChar w:fldCharType="end"/>
      </w:r>
      <w:r w:rsidR="00624D23">
        <w:rPr>
          <w:rFonts w:ascii="Cambria" w:hAnsi="Cambria"/>
          <w:b/>
          <w:bCs/>
          <w:i w:val="0"/>
          <w:iCs w:val="0"/>
          <w:sz w:val="22"/>
          <w:szCs w:val="22"/>
        </w:rPr>
        <w:t>.</w:t>
      </w:r>
      <w:r w:rsidRPr="00624D23">
        <w:rPr>
          <w:rFonts w:ascii="Cambria" w:hAnsi="Cambria"/>
          <w:i w:val="0"/>
          <w:sz w:val="22"/>
          <w:szCs w:val="22"/>
        </w:rPr>
        <w:t xml:space="preserve"> Most Relevant Authors</w:t>
      </w:r>
    </w:p>
    <w:p w14:paraId="649162C5" w14:textId="77777777" w:rsidR="0084110A" w:rsidRPr="000D48B4" w:rsidRDefault="0084110A" w:rsidP="00624D23">
      <w:pPr>
        <w:pStyle w:val="BodyText"/>
        <w:jc w:val="center"/>
        <w:rPr>
          <w:rFonts w:ascii="Tahoma" w:hAnsi="Tahoma" w:cs="Tahoma"/>
          <w:sz w:val="22"/>
          <w:szCs w:val="22"/>
        </w:rPr>
      </w:pPr>
      <w:r w:rsidRPr="00D32CAD">
        <w:rPr>
          <w:rFonts w:ascii="Tahoma" w:hAnsi="Tahoma" w:cs="Tahoma"/>
          <w:noProof/>
          <w:sz w:val="22"/>
          <w:szCs w:val="22"/>
        </w:rPr>
        <w:drawing>
          <wp:inline distT="0" distB="0" distL="0" distR="0" wp14:anchorId="3887DDDA" wp14:editId="53533AAB">
            <wp:extent cx="4842662" cy="1517442"/>
            <wp:effectExtent l="0" t="0" r="0" b="6985"/>
            <wp:docPr id="83518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82155" name=""/>
                    <pic:cNvPicPr/>
                  </pic:nvPicPr>
                  <pic:blipFill rotWithShape="1">
                    <a:blip r:embed="rId21"/>
                    <a:srcRect t="26757" b="8255"/>
                    <a:stretch/>
                  </pic:blipFill>
                  <pic:spPr bwMode="auto">
                    <a:xfrm>
                      <a:off x="0" y="0"/>
                      <a:ext cx="4862278" cy="1523589"/>
                    </a:xfrm>
                    <a:prstGeom prst="rect">
                      <a:avLst/>
                    </a:prstGeom>
                    <a:ln>
                      <a:noFill/>
                    </a:ln>
                    <a:extLst>
                      <a:ext uri="{53640926-AAD7-44D8-BBD7-CCE9431645EC}">
                        <a14:shadowObscured xmlns:a14="http://schemas.microsoft.com/office/drawing/2010/main"/>
                      </a:ext>
                    </a:extLst>
                  </pic:spPr>
                </pic:pic>
              </a:graphicData>
            </a:graphic>
          </wp:inline>
        </w:drawing>
      </w:r>
    </w:p>
    <w:p w14:paraId="3886FC54"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Table 4 above shows the list of the most active authors in the publications analyzed. There are two main pieces of information shown: the total number of articles written by each author, and </w:t>
      </w:r>
      <w:proofErr w:type="gramStart"/>
      <w:r w:rsidRPr="00624D23">
        <w:rPr>
          <w:rFonts w:ascii="Cambria" w:hAnsi="Cambria" w:cs="Tahoma"/>
          <w:i/>
          <w:iCs/>
          <w:sz w:val="22"/>
          <w:szCs w:val="22"/>
        </w:rPr>
        <w:t>fractionalized  contributions</w:t>
      </w:r>
      <w:proofErr w:type="gramEnd"/>
      <w:r w:rsidRPr="00624D23">
        <w:rPr>
          <w:rFonts w:ascii="Cambria" w:hAnsi="Cambria" w:cs="Tahoma"/>
          <w:sz w:val="22"/>
          <w:szCs w:val="22"/>
        </w:rPr>
        <w:t>, which is a measure of how much of their role in each article is, especially when writing with other authors. From this data, it can be seen that LI X is the author with the highest number of articles, namely 4 articles, and has a fractionalization contribution of 0.59. This figure shows that despite working with other authors, his contribution to each article is still quite large.</w:t>
      </w:r>
    </w:p>
    <w:p w14:paraId="2D8AF769"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Authors such as BANJADE R, OLI P, RUS V, and XIAO X also wrote 3 articles each, with the same fractionalization value, which is 0.59. Meanwhile, ZHAO S also wrote 3 articles, but the fractionalized value was slightly lower at 0.47, indicating a collaborative role that may be more divided than other writers. There are also several authors such as AZZARO C, CAU N, CHAPAGAIN J, and CHEN J, who have written 2 articles each. However, their contributions per article vary between 0.18 to 0.34, which suggests that they are most likely to write alongside a larger team.</w:t>
      </w:r>
    </w:p>
    <w:p w14:paraId="47424944"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these data show that although some authors are quite productive in the number of articles, the level of their individual contributions in each article tends to be moderate or evenly split with other co-authors.</w:t>
      </w:r>
    </w:p>
    <w:p w14:paraId="11559D7A"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Data authors Production over Time.</w:t>
      </w:r>
    </w:p>
    <w:p w14:paraId="1C870E8A" w14:textId="77777777" w:rsidR="0084110A" w:rsidRDefault="0084110A" w:rsidP="00624D23">
      <w:pPr>
        <w:pStyle w:val="BodyText"/>
        <w:keepNext/>
        <w:jc w:val="center"/>
      </w:pPr>
      <w:r w:rsidRPr="00D32CAD">
        <w:rPr>
          <w:rFonts w:ascii="Tahoma" w:hAnsi="Tahoma" w:cs="Tahoma"/>
          <w:noProof/>
          <w:sz w:val="22"/>
          <w:szCs w:val="22"/>
        </w:rPr>
        <w:drawing>
          <wp:inline distT="0" distB="0" distL="0" distR="0" wp14:anchorId="4CB5A8C6" wp14:editId="1D855CF9">
            <wp:extent cx="4945076" cy="2514011"/>
            <wp:effectExtent l="0" t="0" r="8255" b="635"/>
            <wp:docPr id="24925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51155" name=""/>
                    <pic:cNvPicPr/>
                  </pic:nvPicPr>
                  <pic:blipFill rotWithShape="1">
                    <a:blip r:embed="rId22"/>
                    <a:srcRect t="17330"/>
                    <a:stretch/>
                  </pic:blipFill>
                  <pic:spPr bwMode="auto">
                    <a:xfrm>
                      <a:off x="0" y="0"/>
                      <a:ext cx="4965162" cy="2524223"/>
                    </a:xfrm>
                    <a:prstGeom prst="rect">
                      <a:avLst/>
                    </a:prstGeom>
                    <a:ln>
                      <a:noFill/>
                    </a:ln>
                    <a:extLst>
                      <a:ext uri="{53640926-AAD7-44D8-BBD7-CCE9431645EC}">
                        <a14:shadowObscured xmlns:a14="http://schemas.microsoft.com/office/drawing/2010/main"/>
                      </a:ext>
                    </a:extLst>
                  </pic:spPr>
                </pic:pic>
              </a:graphicData>
            </a:graphic>
          </wp:inline>
        </w:drawing>
      </w:r>
    </w:p>
    <w:p w14:paraId="044586F9" w14:textId="3706F68D" w:rsidR="0084110A" w:rsidRPr="00624D23" w:rsidRDefault="00624D23" w:rsidP="0084110A">
      <w:pPr>
        <w:pStyle w:val="Caption"/>
        <w:jc w:val="center"/>
        <w:rPr>
          <w:rFonts w:ascii="Cambria" w:hAnsi="Cambria"/>
          <w:i w:val="0"/>
          <w:iCs w:val="0"/>
          <w:sz w:val="22"/>
          <w:szCs w:val="22"/>
        </w:rPr>
      </w:pPr>
      <w:r>
        <w:rPr>
          <w:rFonts w:ascii="Cambria" w:hAnsi="Cambria"/>
          <w:b/>
          <w:bCs/>
          <w:i w:val="0"/>
          <w:sz w:val="22"/>
          <w:szCs w:val="22"/>
        </w:rPr>
        <w:t>Figure</w:t>
      </w:r>
      <w:r w:rsidR="0084110A" w:rsidRPr="00624D23">
        <w:rPr>
          <w:rFonts w:ascii="Cambria" w:hAnsi="Cambria"/>
          <w:b/>
          <w:bCs/>
          <w:i w:val="0"/>
          <w:sz w:val="22"/>
          <w:szCs w:val="22"/>
        </w:rPr>
        <w:t xml:space="preserv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11</w:t>
      </w:r>
      <w:r w:rsidR="0084110A" w:rsidRPr="00624D23">
        <w:rPr>
          <w:rFonts w:ascii="Cambria" w:hAnsi="Cambria"/>
          <w:b/>
          <w:bCs/>
          <w:i w:val="0"/>
          <w:iCs w:val="0"/>
          <w:sz w:val="22"/>
          <w:szCs w:val="22"/>
        </w:rPr>
        <w:fldChar w:fldCharType="end"/>
      </w:r>
      <w:r>
        <w:rPr>
          <w:rFonts w:ascii="Cambria" w:hAnsi="Cambria"/>
          <w:b/>
          <w:bCs/>
          <w:i w:val="0"/>
          <w:iCs w:val="0"/>
          <w:sz w:val="22"/>
          <w:szCs w:val="22"/>
        </w:rPr>
        <w:t>.</w:t>
      </w:r>
      <w:r w:rsidR="0084110A" w:rsidRPr="00624D23">
        <w:rPr>
          <w:rFonts w:ascii="Cambria" w:hAnsi="Cambria"/>
          <w:i w:val="0"/>
          <w:sz w:val="22"/>
          <w:szCs w:val="22"/>
        </w:rPr>
        <w:t xml:space="preserve"> Copyright © 2019 Copyright © 2019</w:t>
      </w:r>
    </w:p>
    <w:p w14:paraId="7A57B2D4"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lastRenderedPageBreak/>
        <w:t xml:space="preserve">Figure 11 above shows a graph showing the productivity of writers from 2018 to 2024, showing </w:t>
      </w:r>
      <w:proofErr w:type="gramStart"/>
      <w:r w:rsidRPr="00624D23">
        <w:rPr>
          <w:rFonts w:ascii="Cambria" w:hAnsi="Cambria" w:cs="Tahoma"/>
          <w:sz w:val="22"/>
          <w:szCs w:val="22"/>
        </w:rPr>
        <w:t>how many articles</w:t>
      </w:r>
      <w:proofErr w:type="gramEnd"/>
      <w:r w:rsidRPr="00624D23">
        <w:rPr>
          <w:rFonts w:ascii="Cambria" w:hAnsi="Cambria" w:cs="Tahoma"/>
          <w:sz w:val="22"/>
          <w:szCs w:val="22"/>
        </w:rPr>
        <w:t xml:space="preserve"> they produce each year. Each line in the graph represents a single author, where the length and thickness of the lines reflect the number of articles and the time period of publication. From this graph it is clear that LI X is the most prolific writer, with a large number of articles especially in 2020 and 2021, and still continues to contribute until 2022. Meanwhile, authors such as BANJADE R, OLI P, and RUS V are also quite active, although the number of articles is not as much as LI X. They seem to be consistent in publishing works, especially around 2020 and 2021.</w:t>
      </w:r>
    </w:p>
    <w:p w14:paraId="11746DF3"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Other authors such as XIAO X and ZHAO S are also quite actively involved, albeit with a slightly lower number of publications. Meanwhile, AZZARO C and CAU N appear to have had a smaller number of publications, but they remained active in publishing articles periodically throughout the period. On the other hand, the contributions of CHAPAGAIN J and CHEN J appear to be more limited. CHAPAGAIN J had several publications in 2020, while CHEN J was only recorded to have published one article in 2023.</w:t>
      </w:r>
    </w:p>
    <w:p w14:paraId="3AAAAB5D"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this graph provides a clear picture of who are the most active authors in this field of research. LI X seems to be the most prominent, while the other authors continue to show important roles despite the smaller number of publications.</w:t>
      </w:r>
    </w:p>
    <w:p w14:paraId="407CEF71"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Countries</w:t>
      </w:r>
    </w:p>
    <w:p w14:paraId="13FAA808" w14:textId="77777777" w:rsidR="0084110A" w:rsidRPr="00624D23" w:rsidRDefault="0084110A" w:rsidP="0084110A">
      <w:pPr>
        <w:pStyle w:val="BodyText"/>
        <w:jc w:val="both"/>
        <w:rPr>
          <w:rFonts w:ascii="Cambria" w:hAnsi="Cambria" w:cs="Tahoma"/>
          <w:sz w:val="22"/>
          <w:szCs w:val="22"/>
        </w:rPr>
      </w:pPr>
      <w:r w:rsidRPr="00624D23">
        <w:rPr>
          <w:rFonts w:ascii="Cambria" w:hAnsi="Cambria" w:cs="Tahoma"/>
          <w:sz w:val="22"/>
          <w:szCs w:val="22"/>
        </w:rPr>
        <w:t xml:space="preserve">The following is the Author's </w:t>
      </w:r>
      <w:proofErr w:type="spellStart"/>
      <w:r w:rsidRPr="00624D23">
        <w:rPr>
          <w:rFonts w:ascii="Cambria" w:hAnsi="Cambria" w:cs="Tahoma"/>
          <w:sz w:val="22"/>
          <w:szCs w:val="22"/>
        </w:rPr>
        <w:t>Coreesponding</w:t>
      </w:r>
      <w:proofErr w:type="spellEnd"/>
      <w:r w:rsidRPr="00624D23">
        <w:rPr>
          <w:rFonts w:ascii="Cambria" w:hAnsi="Cambria" w:cs="Tahoma"/>
          <w:sz w:val="22"/>
          <w:szCs w:val="22"/>
        </w:rPr>
        <w:t xml:space="preserve"> by country.</w:t>
      </w:r>
    </w:p>
    <w:p w14:paraId="120CF68D" w14:textId="77777777" w:rsidR="0084110A" w:rsidRDefault="0084110A" w:rsidP="00624D23">
      <w:pPr>
        <w:pStyle w:val="BodyText"/>
        <w:keepNext/>
        <w:jc w:val="center"/>
      </w:pPr>
      <w:r w:rsidRPr="00D32CAD">
        <w:rPr>
          <w:rFonts w:ascii="Tahoma" w:hAnsi="Tahoma" w:cs="Tahoma"/>
          <w:noProof/>
          <w:sz w:val="22"/>
          <w:szCs w:val="22"/>
        </w:rPr>
        <w:drawing>
          <wp:inline distT="0" distB="0" distL="0" distR="0" wp14:anchorId="7970CB52" wp14:editId="1C0AF0D2">
            <wp:extent cx="4886553" cy="2459199"/>
            <wp:effectExtent l="0" t="0" r="0" b="0"/>
            <wp:docPr id="2007662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62067" name=""/>
                    <pic:cNvPicPr/>
                  </pic:nvPicPr>
                  <pic:blipFill rotWithShape="1">
                    <a:blip r:embed="rId23"/>
                    <a:srcRect t="17692"/>
                    <a:stretch/>
                  </pic:blipFill>
                  <pic:spPr bwMode="auto">
                    <a:xfrm>
                      <a:off x="0" y="0"/>
                      <a:ext cx="4892215" cy="2462049"/>
                    </a:xfrm>
                    <a:prstGeom prst="rect">
                      <a:avLst/>
                    </a:prstGeom>
                    <a:ln>
                      <a:noFill/>
                    </a:ln>
                    <a:extLst>
                      <a:ext uri="{53640926-AAD7-44D8-BBD7-CCE9431645EC}">
                        <a14:shadowObscured xmlns:a14="http://schemas.microsoft.com/office/drawing/2010/main"/>
                      </a:ext>
                    </a:extLst>
                  </pic:spPr>
                </pic:pic>
              </a:graphicData>
            </a:graphic>
          </wp:inline>
        </w:drawing>
      </w:r>
    </w:p>
    <w:p w14:paraId="165B492E" w14:textId="6B2C0426"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 xml:space="preserve">Figure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12</w:t>
      </w:r>
      <w:r w:rsidR="0084110A" w:rsidRPr="00624D23">
        <w:rPr>
          <w:rFonts w:ascii="Cambria" w:hAnsi="Cambria"/>
          <w:b/>
          <w:bCs/>
          <w:i w:val="0"/>
          <w:iCs w:val="0"/>
          <w:sz w:val="22"/>
          <w:szCs w:val="22"/>
        </w:rPr>
        <w:fldChar w:fldCharType="end"/>
      </w:r>
      <w:r w:rsidRPr="00624D23">
        <w:rPr>
          <w:rFonts w:ascii="Cambria" w:hAnsi="Cambria"/>
          <w:b/>
          <w:bCs/>
          <w:i w:val="0"/>
          <w:iCs w:val="0"/>
          <w:sz w:val="22"/>
          <w:szCs w:val="22"/>
        </w:rPr>
        <w:t>.</w:t>
      </w:r>
      <w:r w:rsidR="0084110A" w:rsidRPr="00624D23">
        <w:rPr>
          <w:rFonts w:ascii="Cambria" w:hAnsi="Cambria"/>
          <w:i w:val="0"/>
          <w:sz w:val="22"/>
          <w:szCs w:val="22"/>
        </w:rPr>
        <w:t xml:space="preserve"> Author's </w:t>
      </w:r>
      <w:proofErr w:type="spellStart"/>
      <w:r w:rsidR="0084110A" w:rsidRPr="00624D23">
        <w:rPr>
          <w:rFonts w:ascii="Cambria" w:hAnsi="Cambria"/>
          <w:i w:val="0"/>
          <w:sz w:val="22"/>
          <w:szCs w:val="22"/>
        </w:rPr>
        <w:t>Coreesponding</w:t>
      </w:r>
      <w:proofErr w:type="spellEnd"/>
      <w:r w:rsidR="0084110A" w:rsidRPr="00624D23">
        <w:rPr>
          <w:rFonts w:ascii="Cambria" w:hAnsi="Cambria"/>
          <w:i w:val="0"/>
          <w:sz w:val="22"/>
          <w:szCs w:val="22"/>
        </w:rPr>
        <w:t xml:space="preserve"> by country.</w:t>
      </w:r>
    </w:p>
    <w:p w14:paraId="471327E7"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Figure 12 above shows a graph showing the number of scientific papers published by the country of origin of the author of the correspondence. This graph divides the types of collaboration in publications into two: SCP (Single-Country Papers) which means that authors are from only one country (marked in green), and MCP (Multi-Country Papers) which means that authors work together across countries (marked in red). From the graph, it can be seen that the United States (USA) is the country with the highest number of publications, and most of its articles are written by authors from the country itself (SCP). China also occupies the top position, with a fairly balanced distribution between national publications and international collaborations.</w:t>
      </w:r>
    </w:p>
    <w:p w14:paraId="44EE999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Countries such as the United Kingdom and Germany follow with a high number of publications, and most of them also come from domestic collaborations (SCPs). Then, countries such as Canada, Switzerland, Australia, and India also showed a considerable number of publications, although the majority were still in the SCP category. Meanwhile, countries such as Italy, Greece, the Netherlands, and Poland have smaller contributions, but remain active, especially in the category of domestic publications. Other countries such as Bangladesh, Belgium, Brazil, Bulgaria, Egypt, Hungary, and Indonesia were also recorded as contributing, although the number of documents was smaller and most of them were included in the SCP.</w:t>
      </w:r>
    </w:p>
    <w:p w14:paraId="10880DE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lastRenderedPageBreak/>
        <w:t>In general, this graph shows that scientific publications in this field are dominated by large countries such as the USA and China. Even so, there are also many contributions from various other countries, both through international cooperation and independent publications at the national level.</w:t>
      </w:r>
    </w:p>
    <w:p w14:paraId="4A44FA59" w14:textId="59194988" w:rsidR="0084110A" w:rsidRPr="00624D23" w:rsidRDefault="0084110A" w:rsidP="00624D23">
      <w:pPr>
        <w:pStyle w:val="BodyText"/>
        <w:jc w:val="both"/>
        <w:rPr>
          <w:rFonts w:ascii="Cambria" w:hAnsi="Cambria" w:cs="Tahoma"/>
          <w:sz w:val="22"/>
          <w:szCs w:val="22"/>
        </w:rPr>
      </w:pPr>
      <w:r w:rsidRPr="00624D23">
        <w:rPr>
          <w:rFonts w:ascii="Cambria" w:hAnsi="Cambria" w:cs="Tahoma"/>
          <w:sz w:val="22"/>
          <w:szCs w:val="22"/>
        </w:rPr>
        <w:t>The following is the data of the top 10 Countries' Scientific Production.</w:t>
      </w:r>
    </w:p>
    <w:p w14:paraId="5344FCB3" w14:textId="77777777" w:rsidR="0084110A" w:rsidRPr="00624D23" w:rsidRDefault="0084110A" w:rsidP="00624D23">
      <w:pPr>
        <w:pStyle w:val="Caption"/>
        <w:keepNext/>
        <w:spacing w:before="0" w:after="0"/>
        <w:jc w:val="center"/>
        <w:rPr>
          <w:rFonts w:ascii="Cambria" w:hAnsi="Cambria"/>
          <w:i w:val="0"/>
          <w:iCs w:val="0"/>
          <w:sz w:val="22"/>
          <w:szCs w:val="22"/>
        </w:rPr>
      </w:pPr>
      <w:r w:rsidRPr="00624D23">
        <w:rPr>
          <w:rFonts w:ascii="Cambria" w:hAnsi="Cambria"/>
          <w:b/>
          <w:bCs/>
          <w:i w:val="0"/>
          <w:sz w:val="22"/>
          <w:szCs w:val="22"/>
        </w:rPr>
        <w:t xml:space="preserve">Table </w:t>
      </w:r>
      <w:r w:rsidRPr="00624D23">
        <w:rPr>
          <w:rFonts w:ascii="Cambria" w:hAnsi="Cambria"/>
          <w:b/>
          <w:bCs/>
          <w:i w:val="0"/>
          <w:iCs w:val="0"/>
          <w:sz w:val="22"/>
          <w:szCs w:val="22"/>
        </w:rPr>
        <w:fldChar w:fldCharType="begin"/>
      </w:r>
      <w:r w:rsidRPr="00624D23">
        <w:rPr>
          <w:rFonts w:ascii="Cambria" w:hAnsi="Cambria"/>
          <w:b/>
          <w:bCs/>
          <w:i w:val="0"/>
          <w:sz w:val="22"/>
          <w:szCs w:val="22"/>
        </w:rPr>
        <w:instrText xml:space="preserve"> SEQ Tabel \* ARABIC </w:instrText>
      </w:r>
      <w:r w:rsidRPr="00624D23">
        <w:rPr>
          <w:rFonts w:ascii="Cambria" w:hAnsi="Cambria"/>
          <w:b/>
          <w:bCs/>
          <w:i w:val="0"/>
          <w:iCs w:val="0"/>
          <w:sz w:val="22"/>
          <w:szCs w:val="22"/>
        </w:rPr>
        <w:fldChar w:fldCharType="separate"/>
      </w:r>
      <w:r w:rsidRPr="00624D23">
        <w:rPr>
          <w:rFonts w:ascii="Cambria" w:hAnsi="Cambria"/>
          <w:b/>
          <w:bCs/>
          <w:i w:val="0"/>
          <w:noProof/>
          <w:sz w:val="22"/>
          <w:szCs w:val="22"/>
        </w:rPr>
        <w:t>5</w:t>
      </w:r>
      <w:r w:rsidRPr="00624D23">
        <w:rPr>
          <w:rFonts w:ascii="Cambria" w:hAnsi="Cambria"/>
          <w:b/>
          <w:bCs/>
          <w:i w:val="0"/>
          <w:iCs w:val="0"/>
          <w:sz w:val="22"/>
          <w:szCs w:val="22"/>
        </w:rPr>
        <w:fldChar w:fldCharType="end"/>
      </w:r>
      <w:r w:rsidRPr="00624D23">
        <w:rPr>
          <w:rFonts w:ascii="Cambria" w:hAnsi="Cambria"/>
          <w:i w:val="0"/>
          <w:sz w:val="22"/>
          <w:szCs w:val="22"/>
        </w:rPr>
        <w:t xml:space="preserve"> top 10 Countries' Scientific Production.</w:t>
      </w:r>
    </w:p>
    <w:p w14:paraId="189F4D1A" w14:textId="77777777" w:rsidR="0084110A" w:rsidRDefault="0084110A" w:rsidP="00624D23">
      <w:pPr>
        <w:pStyle w:val="BodyText"/>
        <w:spacing w:after="0"/>
        <w:jc w:val="center"/>
        <w:rPr>
          <w:rFonts w:ascii="Tahoma" w:hAnsi="Tahoma" w:cs="Tahoma"/>
          <w:sz w:val="22"/>
          <w:szCs w:val="22"/>
        </w:rPr>
      </w:pPr>
      <w:r w:rsidRPr="00D32CAD">
        <w:rPr>
          <w:rFonts w:ascii="Tahoma" w:hAnsi="Tahoma" w:cs="Tahoma"/>
          <w:noProof/>
          <w:sz w:val="22"/>
          <w:szCs w:val="22"/>
        </w:rPr>
        <w:drawing>
          <wp:inline distT="0" distB="0" distL="0" distR="0" wp14:anchorId="481CD03A" wp14:editId="1FFACFC0">
            <wp:extent cx="4798771" cy="1507306"/>
            <wp:effectExtent l="0" t="0" r="1905" b="0"/>
            <wp:docPr id="1658395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95516" name=""/>
                    <pic:cNvPicPr/>
                  </pic:nvPicPr>
                  <pic:blipFill rotWithShape="1">
                    <a:blip r:embed="rId24"/>
                    <a:srcRect t="26484" b="8630"/>
                    <a:stretch/>
                  </pic:blipFill>
                  <pic:spPr bwMode="auto">
                    <a:xfrm>
                      <a:off x="0" y="0"/>
                      <a:ext cx="4810290" cy="1510924"/>
                    </a:xfrm>
                    <a:prstGeom prst="rect">
                      <a:avLst/>
                    </a:prstGeom>
                    <a:ln>
                      <a:noFill/>
                    </a:ln>
                    <a:extLst>
                      <a:ext uri="{53640926-AAD7-44D8-BBD7-CCE9431645EC}">
                        <a14:shadowObscured xmlns:a14="http://schemas.microsoft.com/office/drawing/2010/main"/>
                      </a:ext>
                    </a:extLst>
                  </pic:spPr>
                </pic:pic>
              </a:graphicData>
            </a:graphic>
          </wp:inline>
        </w:drawing>
      </w:r>
    </w:p>
    <w:p w14:paraId="325D8B67"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 xml:space="preserve">Table 5 above shows the number of scientific publications produced by each country from 2016 to 2025. From the data, the United States (USA) is in the top position with 211 documents, showing </w:t>
      </w:r>
      <w:proofErr w:type="gramStart"/>
      <w:r w:rsidRPr="00624D23">
        <w:rPr>
          <w:rFonts w:ascii="Cambria" w:hAnsi="Cambria" w:cs="Tahoma"/>
          <w:sz w:val="22"/>
          <w:szCs w:val="22"/>
        </w:rPr>
        <w:t>how much</w:t>
      </w:r>
      <w:proofErr w:type="gramEnd"/>
      <w:r w:rsidRPr="00624D23">
        <w:rPr>
          <w:rFonts w:ascii="Cambria" w:hAnsi="Cambria" w:cs="Tahoma"/>
          <w:sz w:val="22"/>
          <w:szCs w:val="22"/>
        </w:rPr>
        <w:t xml:space="preserve"> they contributed to research during this period. China ranks second with 90 documents, quite large as well, although still far behind the USA. Next in order, there is the UK with 46 publications, followed by Germany which recorded 44 documents, both of which continue to show a strong role in the development of global science. Italy and Switzerland are also on the list with 29 and 28 papers, which means they are quite active in their scientific contributions, although the scale is not as large as the countries above.</w:t>
      </w:r>
    </w:p>
    <w:p w14:paraId="49B9C7A8"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Canada and the Netherlands recorded 25 and 18 publications, respectively, while India and Japan followed with 14 documents per country. Although the number is smaller, the contributions of these countries remain significant in the international research arena. Overall, this data shows a gap in the number of publications between countries with the USA and China as major players, while other countries continue to play a role, albeit on a smaller scale.</w:t>
      </w:r>
    </w:p>
    <w:p w14:paraId="772D5EAE"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Countries' Production over Time</w:t>
      </w:r>
    </w:p>
    <w:p w14:paraId="22963392" w14:textId="77777777" w:rsidR="0084110A" w:rsidRPr="00384E1A" w:rsidRDefault="0084110A" w:rsidP="0084110A">
      <w:pPr>
        <w:pStyle w:val="BodyText"/>
        <w:jc w:val="both"/>
        <w:rPr>
          <w:rFonts w:ascii="Tahoma" w:hAnsi="Tahoma" w:cs="Tahoma"/>
          <w:sz w:val="22"/>
          <w:szCs w:val="22"/>
        </w:rPr>
      </w:pPr>
      <w:r w:rsidRPr="00624D23">
        <w:rPr>
          <w:rFonts w:ascii="Cambria" w:hAnsi="Cambria" w:cs="Tahoma"/>
          <w:sz w:val="22"/>
          <w:szCs w:val="22"/>
        </w:rPr>
        <w:t>The following is the data on Countries' Production over Time. The data can be seen in the graph below.</w:t>
      </w:r>
      <w:r>
        <w:rPr>
          <w:rFonts w:ascii="Tahoma" w:hAnsi="Tahoma" w:cs="Tahoma"/>
          <w:sz w:val="22"/>
          <w:szCs w:val="22"/>
        </w:rPr>
        <w:t xml:space="preserve"> </w:t>
      </w:r>
    </w:p>
    <w:p w14:paraId="77453357" w14:textId="77777777" w:rsidR="0084110A" w:rsidRDefault="0084110A" w:rsidP="00624D23">
      <w:pPr>
        <w:pStyle w:val="BodyText"/>
        <w:keepNext/>
        <w:jc w:val="center"/>
      </w:pPr>
      <w:r w:rsidRPr="00D32CAD">
        <w:rPr>
          <w:rFonts w:ascii="Tahoma" w:hAnsi="Tahoma" w:cs="Tahoma"/>
          <w:noProof/>
          <w:sz w:val="22"/>
          <w:szCs w:val="22"/>
        </w:rPr>
        <w:drawing>
          <wp:inline distT="0" distB="0" distL="0" distR="0" wp14:anchorId="3A911897" wp14:editId="709D1A3B">
            <wp:extent cx="4703673" cy="1823032"/>
            <wp:effectExtent l="0" t="0" r="1905" b="6350"/>
            <wp:docPr id="1542837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37683" name=""/>
                    <pic:cNvPicPr/>
                  </pic:nvPicPr>
                  <pic:blipFill rotWithShape="1">
                    <a:blip r:embed="rId25"/>
                    <a:srcRect t="11242"/>
                    <a:stretch/>
                  </pic:blipFill>
                  <pic:spPr bwMode="auto">
                    <a:xfrm>
                      <a:off x="0" y="0"/>
                      <a:ext cx="4737231" cy="1836038"/>
                    </a:xfrm>
                    <a:prstGeom prst="rect">
                      <a:avLst/>
                    </a:prstGeom>
                    <a:ln>
                      <a:noFill/>
                    </a:ln>
                    <a:extLst>
                      <a:ext uri="{53640926-AAD7-44D8-BBD7-CCE9431645EC}">
                        <a14:shadowObscured xmlns:a14="http://schemas.microsoft.com/office/drawing/2010/main"/>
                      </a:ext>
                    </a:extLst>
                  </pic:spPr>
                </pic:pic>
              </a:graphicData>
            </a:graphic>
          </wp:inline>
        </w:drawing>
      </w:r>
    </w:p>
    <w:p w14:paraId="34CF7F80" w14:textId="2058B506" w:rsidR="0084110A" w:rsidRPr="00624D23" w:rsidRDefault="00624D23" w:rsidP="0084110A">
      <w:pPr>
        <w:pStyle w:val="Caption"/>
        <w:jc w:val="center"/>
        <w:rPr>
          <w:rFonts w:ascii="Cambria" w:hAnsi="Cambria"/>
          <w:i w:val="0"/>
          <w:iCs w:val="0"/>
          <w:sz w:val="22"/>
          <w:szCs w:val="22"/>
        </w:rPr>
      </w:pPr>
      <w:r>
        <w:rPr>
          <w:rFonts w:ascii="Cambria" w:hAnsi="Cambria"/>
          <w:b/>
          <w:bCs/>
          <w:i w:val="0"/>
          <w:sz w:val="22"/>
          <w:szCs w:val="22"/>
        </w:rPr>
        <w:t>Figure</w:t>
      </w:r>
      <w:r w:rsidR="0084110A" w:rsidRPr="00624D23">
        <w:rPr>
          <w:rFonts w:ascii="Cambria" w:hAnsi="Cambria"/>
          <w:b/>
          <w:bCs/>
          <w:i w:val="0"/>
          <w:sz w:val="22"/>
          <w:szCs w:val="22"/>
        </w:rPr>
        <w:t xml:space="preserv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13</w:t>
      </w:r>
      <w:r w:rsidR="0084110A" w:rsidRPr="00624D23">
        <w:rPr>
          <w:rFonts w:ascii="Cambria" w:hAnsi="Cambria"/>
          <w:b/>
          <w:bCs/>
          <w:i w:val="0"/>
          <w:iCs w:val="0"/>
          <w:sz w:val="22"/>
          <w:szCs w:val="22"/>
        </w:rPr>
        <w:fldChar w:fldCharType="end"/>
      </w:r>
      <w:r>
        <w:rPr>
          <w:rFonts w:ascii="Cambria" w:hAnsi="Cambria"/>
          <w:b/>
          <w:bCs/>
          <w:i w:val="0"/>
          <w:iCs w:val="0"/>
          <w:sz w:val="22"/>
          <w:szCs w:val="22"/>
        </w:rPr>
        <w:t>.</w:t>
      </w:r>
      <w:r w:rsidR="0084110A" w:rsidRPr="00624D23">
        <w:rPr>
          <w:rFonts w:ascii="Cambria" w:hAnsi="Cambria"/>
          <w:i w:val="0"/>
          <w:sz w:val="22"/>
          <w:szCs w:val="22"/>
        </w:rPr>
        <w:t xml:space="preserve"> Charts of Countries' Production over Time</w:t>
      </w:r>
    </w:p>
    <w:p w14:paraId="1E9D85A9"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Figure 13 above shows how the trend of scientific publications is developing in several countries, namely China, Germany, Italy, the United Kingdom (UK), and the United States (USA). from 2016 to 2025. In this graph, each line represents one country, with the horizontal axis indicating the year and the vertical axis indicating the number of articles published. From the chart, the USA (with the purple line) looks the most prominent. After 2020, the number of publications from this country jumped sharply and continues to increase until 2025. This shows how dominant the USA's role is in the world of research today. China (red line) also showed rapid growth that began to be felt since 2020, with a trend that also continued to climb until the end of the period.</w:t>
      </w:r>
    </w:p>
    <w:p w14:paraId="517E2801" w14:textId="06256932"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lastRenderedPageBreak/>
        <w:t>Meanwhile, Germany (green line) experienced a slower increase, but still showed steady growth. Italy (blue line) and the UK (yellow line) have a trend that tends to be flat with no major spikes, but still increase consistently from year to year. Overall, this graph shows that the USA and China are major players in the production of scientific articles, with very noticeable growth, especially in recent years. European countries such as Germany, Italy, and the UK are also actively contributing, albeit at a slower growth rate.</w:t>
      </w:r>
    </w:p>
    <w:p w14:paraId="6FD195B0"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Most Cited Countries</w:t>
      </w:r>
    </w:p>
    <w:p w14:paraId="56686D48" w14:textId="77777777" w:rsidR="0084110A" w:rsidRDefault="0084110A" w:rsidP="00624D23">
      <w:pPr>
        <w:pStyle w:val="BodyText"/>
        <w:keepNext/>
        <w:jc w:val="center"/>
      </w:pPr>
      <w:r w:rsidRPr="00D32CAD">
        <w:rPr>
          <w:rFonts w:ascii="Tahoma" w:hAnsi="Tahoma" w:cs="Tahoma"/>
          <w:noProof/>
          <w:sz w:val="22"/>
          <w:szCs w:val="22"/>
        </w:rPr>
        <w:drawing>
          <wp:inline distT="0" distB="0" distL="0" distR="0" wp14:anchorId="3D746C37" wp14:editId="76CB150B">
            <wp:extent cx="4784140" cy="2118106"/>
            <wp:effectExtent l="0" t="0" r="0" b="0"/>
            <wp:docPr id="171936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67431" name=""/>
                    <pic:cNvPicPr/>
                  </pic:nvPicPr>
                  <pic:blipFill rotWithShape="1">
                    <a:blip r:embed="rId26"/>
                    <a:srcRect t="20674"/>
                    <a:stretch/>
                  </pic:blipFill>
                  <pic:spPr bwMode="auto">
                    <a:xfrm>
                      <a:off x="0" y="0"/>
                      <a:ext cx="4792862" cy="2121968"/>
                    </a:xfrm>
                    <a:prstGeom prst="rect">
                      <a:avLst/>
                    </a:prstGeom>
                    <a:ln>
                      <a:noFill/>
                    </a:ln>
                    <a:extLst>
                      <a:ext uri="{53640926-AAD7-44D8-BBD7-CCE9431645EC}">
                        <a14:shadowObscured xmlns:a14="http://schemas.microsoft.com/office/drawing/2010/main"/>
                      </a:ext>
                    </a:extLst>
                  </pic:spPr>
                </pic:pic>
              </a:graphicData>
            </a:graphic>
          </wp:inline>
        </w:drawing>
      </w:r>
    </w:p>
    <w:p w14:paraId="7F35562B" w14:textId="4B52A5D0"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Figure</w:t>
      </w:r>
      <w:r w:rsidR="0084110A" w:rsidRPr="00624D23">
        <w:rPr>
          <w:rFonts w:ascii="Cambria" w:hAnsi="Cambria"/>
          <w:b/>
          <w:bCs/>
          <w:i w:val="0"/>
          <w:sz w:val="22"/>
          <w:szCs w:val="22"/>
        </w:rPr>
        <w:t xml:space="preserv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14</w:t>
      </w:r>
      <w:r w:rsidR="0084110A" w:rsidRPr="00624D23">
        <w:rPr>
          <w:rFonts w:ascii="Cambria" w:hAnsi="Cambria"/>
          <w:b/>
          <w:bCs/>
          <w:i w:val="0"/>
          <w:iCs w:val="0"/>
          <w:sz w:val="22"/>
          <w:szCs w:val="22"/>
        </w:rPr>
        <w:fldChar w:fldCharType="end"/>
      </w:r>
      <w:r w:rsidRPr="00624D23">
        <w:rPr>
          <w:rFonts w:ascii="Cambria" w:hAnsi="Cambria"/>
          <w:b/>
          <w:bCs/>
          <w:i w:val="0"/>
          <w:iCs w:val="0"/>
          <w:sz w:val="22"/>
          <w:szCs w:val="22"/>
        </w:rPr>
        <w:t>.</w:t>
      </w:r>
      <w:r w:rsidR="0084110A" w:rsidRPr="00624D23">
        <w:rPr>
          <w:rFonts w:ascii="Cambria" w:hAnsi="Cambria"/>
          <w:i w:val="0"/>
          <w:sz w:val="22"/>
          <w:szCs w:val="22"/>
        </w:rPr>
        <w:t xml:space="preserve"> Most Cited Countries</w:t>
      </w:r>
    </w:p>
    <w:p w14:paraId="3C37A8DB"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Figure 14 above shows a graph showing the countries with the highest number of citations in the scientific publications analyzed. In this graph, the vertical axis shows the name of the country, while the horizontal axis shows the total citations received by publications from each country.</w:t>
      </w:r>
    </w:p>
    <w:p w14:paraId="3E55AF80"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From the graph, it can be seen that Romania is in first place with 128 citations, followed by the United Kingdom with 127 citations, and Italy with 121 citations. This shows that these countries have a considerable impact in this field of scientific publication. Furthermore, the Netherlands was recorded with 119 citations, while the USA and China received 112 and 110 citations, respectively. Although the USA and China have a larger number of articles, they are not as dominant in terms of the number of citations compared to other countries.</w:t>
      </w:r>
    </w:p>
    <w:p w14:paraId="783AA873"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Countries such as Germany, Switzerland, Australia, and Bangladesh recorded lower citations. Germany received 80 citations, and Switzerland received 76 citations. Meanwhile, Bangladesh is in last place with only 40 citations, showing that despite contributing to scientific publications, its influence in terms of citations is still much smaller compared to other major countries.</w:t>
      </w:r>
    </w:p>
    <w:p w14:paraId="5150FF23" w14:textId="26EE71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Overall, this chart reveals that Romania, the United Kingdom, and Italy dominate in terms of citations, while although major countries like the USA and China have a lot of publications, they are not so dominant when it comes to citations.</w:t>
      </w:r>
    </w:p>
    <w:p w14:paraId="2B58D03C"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Overlay visualization.</w:t>
      </w:r>
    </w:p>
    <w:p w14:paraId="09396491" w14:textId="77777777" w:rsidR="0084110A" w:rsidRDefault="0084110A" w:rsidP="0084110A">
      <w:pPr>
        <w:pStyle w:val="BodyText"/>
        <w:jc w:val="both"/>
        <w:rPr>
          <w:rFonts w:ascii="Tahoma" w:hAnsi="Tahoma" w:cs="Tahoma"/>
          <w:sz w:val="22"/>
          <w:szCs w:val="22"/>
        </w:rPr>
      </w:pPr>
    </w:p>
    <w:p w14:paraId="79D3CF30" w14:textId="77777777" w:rsidR="0084110A" w:rsidRDefault="0084110A" w:rsidP="00624D23">
      <w:pPr>
        <w:pStyle w:val="BodyText"/>
        <w:keepNext/>
        <w:jc w:val="center"/>
      </w:pPr>
      <w:r w:rsidRPr="00191A3F">
        <w:rPr>
          <w:rFonts w:ascii="Tahoma" w:hAnsi="Tahoma" w:cs="Tahoma"/>
          <w:noProof/>
          <w:sz w:val="22"/>
          <w:szCs w:val="22"/>
        </w:rPr>
        <w:lastRenderedPageBreak/>
        <w:drawing>
          <wp:inline distT="0" distB="0" distL="0" distR="0" wp14:anchorId="5C9AE2FE" wp14:editId="140D0EC4">
            <wp:extent cx="5018227" cy="3587282"/>
            <wp:effectExtent l="0" t="0" r="0" b="0"/>
            <wp:docPr id="192127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78636" name=""/>
                    <pic:cNvPicPr/>
                  </pic:nvPicPr>
                  <pic:blipFill>
                    <a:blip r:embed="rId27"/>
                    <a:stretch>
                      <a:fillRect/>
                    </a:stretch>
                  </pic:blipFill>
                  <pic:spPr>
                    <a:xfrm>
                      <a:off x="0" y="0"/>
                      <a:ext cx="5024752" cy="3591946"/>
                    </a:xfrm>
                    <a:prstGeom prst="rect">
                      <a:avLst/>
                    </a:prstGeom>
                  </pic:spPr>
                </pic:pic>
              </a:graphicData>
            </a:graphic>
          </wp:inline>
        </w:drawing>
      </w:r>
    </w:p>
    <w:p w14:paraId="4DC04D56" w14:textId="2C2C0255" w:rsidR="0084110A" w:rsidRPr="00624D23" w:rsidRDefault="00624D23" w:rsidP="0084110A">
      <w:pPr>
        <w:pStyle w:val="Caption"/>
        <w:jc w:val="center"/>
        <w:rPr>
          <w:rFonts w:ascii="Cambria" w:hAnsi="Cambria"/>
          <w:i w:val="0"/>
          <w:iCs w:val="0"/>
          <w:sz w:val="22"/>
          <w:szCs w:val="22"/>
        </w:rPr>
      </w:pPr>
      <w:r w:rsidRPr="00624D23">
        <w:rPr>
          <w:rFonts w:ascii="Cambria" w:hAnsi="Cambria"/>
          <w:b/>
          <w:bCs/>
          <w:i w:val="0"/>
          <w:sz w:val="22"/>
          <w:szCs w:val="22"/>
        </w:rPr>
        <w:t>Figure</w:t>
      </w:r>
      <w:r w:rsidR="0084110A" w:rsidRPr="00624D23">
        <w:rPr>
          <w:rFonts w:ascii="Cambria" w:hAnsi="Cambria"/>
          <w:b/>
          <w:bCs/>
          <w:i w:val="0"/>
          <w:sz w:val="22"/>
          <w:szCs w:val="22"/>
        </w:rPr>
        <w:t xml:space="preserve"> </w:t>
      </w:r>
      <w:r w:rsidR="0084110A" w:rsidRPr="00624D23">
        <w:rPr>
          <w:rFonts w:ascii="Cambria" w:hAnsi="Cambria"/>
          <w:b/>
          <w:bCs/>
          <w:i w:val="0"/>
          <w:iCs w:val="0"/>
          <w:sz w:val="22"/>
          <w:szCs w:val="22"/>
        </w:rPr>
        <w:fldChar w:fldCharType="begin"/>
      </w:r>
      <w:r w:rsidR="0084110A" w:rsidRPr="00624D23">
        <w:rPr>
          <w:rFonts w:ascii="Cambria" w:hAnsi="Cambria"/>
          <w:b/>
          <w:bCs/>
          <w:i w:val="0"/>
          <w:sz w:val="22"/>
          <w:szCs w:val="22"/>
        </w:rPr>
        <w:instrText xml:space="preserve"> SEQ Gambar_ \* ARABIC </w:instrText>
      </w:r>
      <w:r w:rsidR="0084110A" w:rsidRPr="00624D23">
        <w:rPr>
          <w:rFonts w:ascii="Cambria" w:hAnsi="Cambria"/>
          <w:b/>
          <w:bCs/>
          <w:i w:val="0"/>
          <w:iCs w:val="0"/>
          <w:sz w:val="22"/>
          <w:szCs w:val="22"/>
        </w:rPr>
        <w:fldChar w:fldCharType="separate"/>
      </w:r>
      <w:r w:rsidR="0084110A" w:rsidRPr="00624D23">
        <w:rPr>
          <w:rFonts w:ascii="Cambria" w:hAnsi="Cambria"/>
          <w:b/>
          <w:bCs/>
          <w:i w:val="0"/>
          <w:noProof/>
          <w:sz w:val="22"/>
          <w:szCs w:val="22"/>
        </w:rPr>
        <w:t>15</w:t>
      </w:r>
      <w:r w:rsidR="0084110A" w:rsidRPr="00624D23">
        <w:rPr>
          <w:rFonts w:ascii="Cambria" w:hAnsi="Cambria"/>
          <w:b/>
          <w:bCs/>
          <w:i w:val="0"/>
          <w:iCs w:val="0"/>
          <w:sz w:val="22"/>
          <w:szCs w:val="22"/>
        </w:rPr>
        <w:fldChar w:fldCharType="end"/>
      </w:r>
      <w:r w:rsidRPr="00624D23">
        <w:rPr>
          <w:rFonts w:ascii="Cambria" w:hAnsi="Cambria"/>
          <w:b/>
          <w:bCs/>
          <w:i w:val="0"/>
          <w:iCs w:val="0"/>
          <w:sz w:val="22"/>
          <w:szCs w:val="22"/>
        </w:rPr>
        <w:t>.</w:t>
      </w:r>
      <w:r w:rsidR="0084110A" w:rsidRPr="00624D23">
        <w:rPr>
          <w:rFonts w:ascii="Cambria" w:hAnsi="Cambria"/>
          <w:i w:val="0"/>
          <w:sz w:val="22"/>
          <w:szCs w:val="22"/>
        </w:rPr>
        <w:t xml:space="preserve"> Contact map</w:t>
      </w:r>
    </w:p>
    <w:p w14:paraId="6563C178"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Figure 15 above shows a keyword map showing the relationships between various topics related to "automated scoring," "artificial intelligence," and "machine learning" in scientific research published between 2020 and 2024. This map provides an overview of how various concepts, technologies, and topics are interconnected.</w:t>
      </w:r>
    </w:p>
    <w:p w14:paraId="3F0201A5"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In the center of the map, it can be seen that "automated assessment" and "artificial intelligence" are the two main topics, with related keywords around them such as "machine learning", "deep learning", and "automated assessment". This suggests that the application of AI and machine learning in automated assessments is a major focus in recent research. Some keywords such as "student", "educational assessment", and "learning system" indicate that many studies focus on the use of AI to improve student assessment and learning.</w:t>
      </w:r>
    </w:p>
    <w:p w14:paraId="4B05E3BE"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Additionally, keywords such as "explainable AI" and "fairness" indicate a concern for transparency and fairness in the use of AI technology for assessment. Some of the other topics that emerged include "virtual reality", "natural language processing", and "predictive value", which suggests the incorporation of new technologies in automated assessment and AI. "Automated scoring systems" and "learning algorithms" also emerged as prominent topics, indicating the development of increasingly automated and intelligent scoring systems.</w:t>
      </w:r>
    </w:p>
    <w:p w14:paraId="3BFED0D5" w14:textId="77777777" w:rsidR="0084110A" w:rsidRPr="00624D23" w:rsidRDefault="0084110A" w:rsidP="0084110A">
      <w:pPr>
        <w:pStyle w:val="BodyText"/>
        <w:jc w:val="both"/>
        <w:rPr>
          <w:rFonts w:ascii="Cambria" w:hAnsi="Cambria" w:cs="Tahoma"/>
          <w:sz w:val="22"/>
          <w:szCs w:val="22"/>
          <w:lang w:val="en-ID"/>
        </w:rPr>
      </w:pPr>
      <w:r w:rsidRPr="00624D23">
        <w:rPr>
          <w:rFonts w:ascii="Cambria" w:hAnsi="Cambria" w:cs="Tahoma"/>
          <w:sz w:val="22"/>
          <w:szCs w:val="22"/>
        </w:rPr>
        <w:t>This map also shows how these topics have evolved over time. Lighter colors, which vary from 2020 to 2024, reflect increasingly popular trends. In recent years, research has increasingly focused on "contrastive learning", "adversarial machine learning", and "reinforcement learning", which describe the application of advanced methods in assessment technology and machine learning.</w:t>
      </w:r>
    </w:p>
    <w:p w14:paraId="399E48EE" w14:textId="77777777" w:rsidR="0084110A" w:rsidRPr="00624D23" w:rsidRDefault="0084110A" w:rsidP="0084110A">
      <w:pPr>
        <w:pStyle w:val="BodyText"/>
        <w:jc w:val="both"/>
        <w:rPr>
          <w:rFonts w:ascii="Cambria" w:hAnsi="Cambria" w:cs="Tahoma"/>
          <w:b/>
          <w:bCs/>
          <w:sz w:val="22"/>
          <w:szCs w:val="22"/>
        </w:rPr>
      </w:pPr>
      <w:r w:rsidRPr="00624D23">
        <w:rPr>
          <w:rFonts w:ascii="Cambria" w:hAnsi="Cambria" w:cs="Tahoma"/>
          <w:b/>
          <w:bCs/>
          <w:sz w:val="22"/>
          <w:szCs w:val="22"/>
        </w:rPr>
        <w:t xml:space="preserve">Network Visualization. </w:t>
      </w:r>
    </w:p>
    <w:p w14:paraId="0860AC3B" w14:textId="77777777" w:rsidR="0084110A" w:rsidRDefault="0084110A" w:rsidP="009122F6">
      <w:pPr>
        <w:pStyle w:val="BodyText"/>
        <w:keepNext/>
        <w:jc w:val="center"/>
      </w:pPr>
      <w:r>
        <w:rPr>
          <w:noProof/>
        </w:rPr>
        <w:lastRenderedPageBreak/>
        <w:drawing>
          <wp:inline distT="0" distB="0" distL="0" distR="0" wp14:anchorId="39FAC49A" wp14:editId="6B16FF79">
            <wp:extent cx="4462272" cy="3165543"/>
            <wp:effectExtent l="0" t="0" r="0" b="0"/>
            <wp:docPr id="1153990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3433" cy="3173461"/>
                    </a:xfrm>
                    <a:prstGeom prst="rect">
                      <a:avLst/>
                    </a:prstGeom>
                    <a:noFill/>
                    <a:ln>
                      <a:noFill/>
                    </a:ln>
                  </pic:spPr>
                </pic:pic>
              </a:graphicData>
            </a:graphic>
          </wp:inline>
        </w:drawing>
      </w:r>
    </w:p>
    <w:p w14:paraId="7FBBF7C5" w14:textId="7B6EDCC7" w:rsidR="0084110A" w:rsidRPr="009122F6" w:rsidRDefault="009122F6" w:rsidP="0084110A">
      <w:pPr>
        <w:pStyle w:val="Caption"/>
        <w:jc w:val="center"/>
        <w:rPr>
          <w:rFonts w:ascii="Cambria" w:hAnsi="Cambria"/>
          <w:i w:val="0"/>
          <w:iCs w:val="0"/>
          <w:sz w:val="22"/>
          <w:szCs w:val="22"/>
        </w:rPr>
      </w:pPr>
      <w:r w:rsidRPr="009122F6">
        <w:rPr>
          <w:rFonts w:ascii="Cambria" w:hAnsi="Cambria"/>
          <w:b/>
          <w:bCs/>
          <w:i w:val="0"/>
          <w:sz w:val="22"/>
          <w:szCs w:val="22"/>
        </w:rPr>
        <w:t>Figure</w:t>
      </w:r>
      <w:r w:rsidR="0084110A" w:rsidRPr="009122F6">
        <w:rPr>
          <w:rFonts w:ascii="Cambria" w:hAnsi="Cambria"/>
          <w:b/>
          <w:bCs/>
          <w:i w:val="0"/>
          <w:sz w:val="22"/>
          <w:szCs w:val="22"/>
        </w:rPr>
        <w:t xml:space="preserve"> </w:t>
      </w:r>
      <w:r w:rsidR="0084110A" w:rsidRPr="009122F6">
        <w:rPr>
          <w:rFonts w:ascii="Cambria" w:hAnsi="Cambria"/>
          <w:b/>
          <w:bCs/>
          <w:i w:val="0"/>
          <w:iCs w:val="0"/>
          <w:sz w:val="22"/>
          <w:szCs w:val="22"/>
        </w:rPr>
        <w:fldChar w:fldCharType="begin"/>
      </w:r>
      <w:r w:rsidR="0084110A" w:rsidRPr="009122F6">
        <w:rPr>
          <w:rFonts w:ascii="Cambria" w:hAnsi="Cambria"/>
          <w:b/>
          <w:bCs/>
          <w:i w:val="0"/>
          <w:sz w:val="22"/>
          <w:szCs w:val="22"/>
        </w:rPr>
        <w:instrText xml:space="preserve"> SEQ Gambar_ \* ARABIC </w:instrText>
      </w:r>
      <w:r w:rsidR="0084110A" w:rsidRPr="009122F6">
        <w:rPr>
          <w:rFonts w:ascii="Cambria" w:hAnsi="Cambria"/>
          <w:b/>
          <w:bCs/>
          <w:i w:val="0"/>
          <w:iCs w:val="0"/>
          <w:sz w:val="22"/>
          <w:szCs w:val="22"/>
        </w:rPr>
        <w:fldChar w:fldCharType="separate"/>
      </w:r>
      <w:r w:rsidR="0084110A" w:rsidRPr="009122F6">
        <w:rPr>
          <w:rFonts w:ascii="Cambria" w:hAnsi="Cambria"/>
          <w:b/>
          <w:bCs/>
          <w:i w:val="0"/>
          <w:noProof/>
          <w:sz w:val="22"/>
          <w:szCs w:val="22"/>
        </w:rPr>
        <w:t>16</w:t>
      </w:r>
      <w:r w:rsidR="0084110A" w:rsidRPr="009122F6">
        <w:rPr>
          <w:rFonts w:ascii="Cambria" w:hAnsi="Cambria"/>
          <w:b/>
          <w:bCs/>
          <w:i w:val="0"/>
          <w:iCs w:val="0"/>
          <w:sz w:val="22"/>
          <w:szCs w:val="22"/>
        </w:rPr>
        <w:fldChar w:fldCharType="end"/>
      </w:r>
      <w:r w:rsidRPr="009122F6">
        <w:rPr>
          <w:rFonts w:ascii="Cambria" w:hAnsi="Cambria"/>
          <w:b/>
          <w:bCs/>
          <w:i w:val="0"/>
          <w:iCs w:val="0"/>
          <w:sz w:val="22"/>
          <w:szCs w:val="22"/>
        </w:rPr>
        <w:t>.</w:t>
      </w:r>
      <w:r w:rsidR="0084110A" w:rsidRPr="009122F6">
        <w:rPr>
          <w:rFonts w:ascii="Cambria" w:hAnsi="Cambria"/>
          <w:i w:val="0"/>
          <w:sz w:val="22"/>
          <w:szCs w:val="22"/>
        </w:rPr>
        <w:t xml:space="preserve"> Network visualization</w:t>
      </w:r>
    </w:p>
    <w:p w14:paraId="691D4470" w14:textId="77777777" w:rsidR="0084110A" w:rsidRPr="009122F6" w:rsidRDefault="0084110A" w:rsidP="0084110A">
      <w:pPr>
        <w:pStyle w:val="BodyText"/>
        <w:jc w:val="both"/>
        <w:rPr>
          <w:rFonts w:ascii="Cambria" w:hAnsi="Cambria" w:cs="Tahoma"/>
          <w:sz w:val="22"/>
          <w:szCs w:val="22"/>
          <w:lang w:val="en-ID"/>
        </w:rPr>
      </w:pPr>
      <w:r w:rsidRPr="009122F6">
        <w:rPr>
          <w:rFonts w:ascii="Cambria" w:hAnsi="Cambria" w:cs="Tahoma"/>
          <w:sz w:val="22"/>
          <w:szCs w:val="22"/>
        </w:rPr>
        <w:t>Figure 16 above is a network visualization that shows the relationship between various topics related to automated assessment and artificial intelligence (AI), especially in the context of education and medical applications. The dots in the image represent the main keywords or themes, while the lines connecting them indicate the relationships or similarities between the topics. The red group, the largest and most centralized, focuses on automated assessments and AI. Keywords such as AI, automated assessment, machine learning, and deep learning are present in this group, signifying that the main theme of this network is the application of intelligent technology in assessment, especially to support automated assessments in the fields of education and other applications.</w:t>
      </w:r>
    </w:p>
    <w:p w14:paraId="22D770E7" w14:textId="77777777" w:rsidR="0084110A" w:rsidRPr="009122F6" w:rsidRDefault="0084110A" w:rsidP="0084110A">
      <w:pPr>
        <w:pStyle w:val="BodyText"/>
        <w:jc w:val="both"/>
        <w:rPr>
          <w:rFonts w:ascii="Cambria" w:hAnsi="Cambria" w:cs="Tahoma"/>
          <w:sz w:val="22"/>
          <w:szCs w:val="22"/>
          <w:lang w:val="en-ID"/>
        </w:rPr>
      </w:pPr>
      <w:r w:rsidRPr="009122F6">
        <w:rPr>
          <w:rFonts w:ascii="Cambria" w:hAnsi="Cambria" w:cs="Tahoma"/>
          <w:sz w:val="22"/>
          <w:szCs w:val="22"/>
        </w:rPr>
        <w:t>The yellow and green groups, on the other hand, are more associated with the medical and human health worlds, with keywords such as spinal stenosis, human tissue, controlled studies, and diagnostic accuracy. This suggests that AI is also used in the fields of medical diagnostics and human health research. Words such as student, educational assessments, and training sets connected to red groups show the importance of AI in education, particularly for the assessment of student progress and the development of more personalized learning systems. Additionally, the relationship between AI, machine learning, and accuracy measurement in this image emphasizes how these technologies improve accuracy in assessments in various fields, both education and healthcare.</w:t>
      </w:r>
    </w:p>
    <w:p w14:paraId="7E53C161" w14:textId="28F2F0CB" w:rsidR="0084110A" w:rsidRPr="009122F6" w:rsidRDefault="0084110A" w:rsidP="0084110A">
      <w:pPr>
        <w:pStyle w:val="BodyText"/>
        <w:jc w:val="both"/>
        <w:rPr>
          <w:rFonts w:ascii="Cambria" w:hAnsi="Cambria" w:cs="Tahoma"/>
          <w:sz w:val="22"/>
          <w:szCs w:val="22"/>
          <w:lang w:val="en-ID"/>
        </w:rPr>
      </w:pPr>
      <w:r w:rsidRPr="009122F6">
        <w:rPr>
          <w:rFonts w:ascii="Cambria" w:hAnsi="Cambria" w:cs="Tahoma"/>
          <w:sz w:val="22"/>
          <w:szCs w:val="22"/>
        </w:rPr>
        <w:t>Overall, this visualization provides an overview of how AI and automated scoring are evolving in various fields, as well as how they are intertwined to improve efficiency and accuracy in data-driven decision-making.</w:t>
      </w:r>
    </w:p>
    <w:p w14:paraId="6E2EAB9C" w14:textId="77777777" w:rsidR="0084110A" w:rsidRPr="009122F6" w:rsidRDefault="0084110A" w:rsidP="009122F6">
      <w:pPr>
        <w:pStyle w:val="BodyText"/>
        <w:jc w:val="both"/>
        <w:rPr>
          <w:rFonts w:ascii="Cambria" w:hAnsi="Cambria" w:cs="Tahoma"/>
          <w:b/>
          <w:bCs/>
          <w:sz w:val="22"/>
          <w:szCs w:val="22"/>
        </w:rPr>
      </w:pPr>
      <w:r w:rsidRPr="009122F6">
        <w:rPr>
          <w:rFonts w:ascii="Cambria" w:hAnsi="Cambria" w:cs="Tahoma"/>
          <w:b/>
          <w:bCs/>
          <w:sz w:val="22"/>
          <w:szCs w:val="22"/>
        </w:rPr>
        <w:t>SLR Study.</w:t>
      </w:r>
    </w:p>
    <w:p w14:paraId="0F7A65CD" w14:textId="77777777" w:rsidR="0084110A" w:rsidRPr="009122F6" w:rsidRDefault="0084110A" w:rsidP="009122F6">
      <w:pPr>
        <w:pStyle w:val="BodyText"/>
        <w:jc w:val="both"/>
        <w:rPr>
          <w:rFonts w:ascii="Cambria" w:hAnsi="Cambria" w:cs="Tahoma"/>
          <w:sz w:val="22"/>
          <w:szCs w:val="22"/>
        </w:rPr>
      </w:pPr>
      <w:r w:rsidRPr="009122F6">
        <w:rPr>
          <w:rFonts w:ascii="Cambria" w:hAnsi="Cambria" w:cs="Tahoma"/>
          <w:sz w:val="22"/>
          <w:szCs w:val="22"/>
        </w:rPr>
        <w:t xml:space="preserve">Of the 121 data obtained, 82 will be focused on the type of article. </w:t>
      </w:r>
    </w:p>
    <w:tbl>
      <w:tblPr>
        <w:tblStyle w:val="TableGrid"/>
        <w:tblW w:w="0" w:type="auto"/>
        <w:tblInd w:w="1075" w:type="dxa"/>
        <w:tblLook w:val="04A0" w:firstRow="1" w:lastRow="0" w:firstColumn="1" w:lastColumn="0" w:noHBand="0" w:noVBand="1"/>
      </w:tblPr>
      <w:tblGrid>
        <w:gridCol w:w="567"/>
        <w:gridCol w:w="4212"/>
        <w:gridCol w:w="2331"/>
      </w:tblGrid>
      <w:tr w:rsidR="0084110A" w:rsidRPr="009122F6" w14:paraId="7971605D" w14:textId="77777777" w:rsidTr="009122F6">
        <w:trPr>
          <w:trHeight w:val="281"/>
        </w:trPr>
        <w:tc>
          <w:tcPr>
            <w:tcW w:w="567" w:type="dxa"/>
          </w:tcPr>
          <w:p w14:paraId="65A03320" w14:textId="77777777" w:rsidR="0084110A" w:rsidRPr="009122F6" w:rsidRDefault="0084110A" w:rsidP="009122F6">
            <w:pPr>
              <w:pStyle w:val="Compact"/>
              <w:jc w:val="center"/>
              <w:rPr>
                <w:rFonts w:ascii="Cambria" w:hAnsi="Cambria" w:cs="Tahoma"/>
                <w:b/>
                <w:bCs/>
                <w:sz w:val="22"/>
                <w:szCs w:val="22"/>
              </w:rPr>
            </w:pPr>
            <w:r w:rsidRPr="009122F6">
              <w:rPr>
                <w:rFonts w:ascii="Cambria" w:hAnsi="Cambria" w:cs="Tahoma"/>
                <w:b/>
                <w:bCs/>
                <w:sz w:val="22"/>
                <w:szCs w:val="22"/>
              </w:rPr>
              <w:t>Yes</w:t>
            </w:r>
          </w:p>
        </w:tc>
        <w:tc>
          <w:tcPr>
            <w:tcW w:w="4212" w:type="dxa"/>
          </w:tcPr>
          <w:p w14:paraId="4DD641AB" w14:textId="77777777" w:rsidR="0084110A" w:rsidRPr="009122F6" w:rsidRDefault="0084110A" w:rsidP="009122F6">
            <w:pPr>
              <w:pStyle w:val="Compact"/>
              <w:jc w:val="both"/>
              <w:rPr>
                <w:rFonts w:ascii="Cambria" w:hAnsi="Cambria" w:cs="Tahoma"/>
                <w:b/>
                <w:bCs/>
                <w:sz w:val="22"/>
                <w:szCs w:val="22"/>
              </w:rPr>
            </w:pPr>
            <w:r w:rsidRPr="009122F6">
              <w:rPr>
                <w:rFonts w:ascii="Cambria" w:hAnsi="Cambria" w:cs="Tahoma"/>
                <w:b/>
                <w:bCs/>
                <w:sz w:val="22"/>
                <w:szCs w:val="22"/>
              </w:rPr>
              <w:t>Kind</w:t>
            </w:r>
          </w:p>
        </w:tc>
        <w:tc>
          <w:tcPr>
            <w:tcW w:w="2331" w:type="dxa"/>
          </w:tcPr>
          <w:p w14:paraId="2FA21E4E" w14:textId="77777777" w:rsidR="0084110A" w:rsidRPr="009122F6" w:rsidRDefault="0084110A" w:rsidP="009122F6">
            <w:pPr>
              <w:pStyle w:val="Compact"/>
              <w:jc w:val="both"/>
              <w:rPr>
                <w:rFonts w:ascii="Cambria" w:hAnsi="Cambria" w:cs="Tahoma"/>
                <w:b/>
                <w:bCs/>
                <w:sz w:val="22"/>
                <w:szCs w:val="22"/>
              </w:rPr>
            </w:pPr>
            <w:r w:rsidRPr="009122F6">
              <w:rPr>
                <w:rFonts w:ascii="Cambria" w:hAnsi="Cambria" w:cs="Tahoma"/>
                <w:b/>
                <w:bCs/>
                <w:sz w:val="22"/>
                <w:szCs w:val="22"/>
              </w:rPr>
              <w:t>Sum</w:t>
            </w:r>
          </w:p>
        </w:tc>
      </w:tr>
      <w:tr w:rsidR="0084110A" w:rsidRPr="009122F6" w14:paraId="35E7E578" w14:textId="77777777" w:rsidTr="009122F6">
        <w:trPr>
          <w:trHeight w:val="272"/>
        </w:trPr>
        <w:tc>
          <w:tcPr>
            <w:tcW w:w="567" w:type="dxa"/>
            <w:shd w:val="clear" w:color="auto" w:fill="auto"/>
          </w:tcPr>
          <w:p w14:paraId="0D8ABB50" w14:textId="77777777" w:rsidR="0084110A" w:rsidRPr="009122F6" w:rsidRDefault="0084110A" w:rsidP="009122F6">
            <w:pPr>
              <w:pStyle w:val="Compact"/>
              <w:jc w:val="both"/>
              <w:rPr>
                <w:rFonts w:ascii="Cambria" w:hAnsi="Cambria" w:cs="Tahoma"/>
                <w:b/>
                <w:bCs/>
                <w:sz w:val="22"/>
                <w:szCs w:val="22"/>
              </w:rPr>
            </w:pPr>
            <w:r w:rsidRPr="009122F6">
              <w:rPr>
                <w:rFonts w:ascii="Cambria" w:hAnsi="Cambria" w:cs="Tahoma"/>
                <w:b/>
                <w:bCs/>
                <w:sz w:val="22"/>
                <w:szCs w:val="22"/>
              </w:rPr>
              <w:t>1</w:t>
            </w:r>
          </w:p>
        </w:tc>
        <w:tc>
          <w:tcPr>
            <w:tcW w:w="4212" w:type="dxa"/>
            <w:shd w:val="clear" w:color="auto" w:fill="auto"/>
          </w:tcPr>
          <w:p w14:paraId="1E40925A" w14:textId="77777777" w:rsidR="0084110A" w:rsidRPr="009122F6" w:rsidRDefault="0084110A" w:rsidP="009122F6">
            <w:pPr>
              <w:pStyle w:val="Compact"/>
              <w:jc w:val="both"/>
              <w:rPr>
                <w:rFonts w:ascii="Cambria" w:hAnsi="Cambria" w:cs="Tahoma"/>
                <w:b/>
                <w:bCs/>
                <w:sz w:val="22"/>
                <w:szCs w:val="22"/>
              </w:rPr>
            </w:pPr>
            <w:r w:rsidRPr="009122F6">
              <w:rPr>
                <w:rFonts w:ascii="Cambria" w:hAnsi="Cambria" w:cs="Tahoma"/>
                <w:b/>
                <w:bCs/>
                <w:sz w:val="22"/>
                <w:szCs w:val="22"/>
              </w:rPr>
              <w:t>Article</w:t>
            </w:r>
          </w:p>
        </w:tc>
        <w:tc>
          <w:tcPr>
            <w:tcW w:w="2331" w:type="dxa"/>
            <w:shd w:val="clear" w:color="auto" w:fill="auto"/>
          </w:tcPr>
          <w:p w14:paraId="2E3B5991" w14:textId="77777777" w:rsidR="0084110A" w:rsidRPr="009122F6" w:rsidRDefault="0084110A" w:rsidP="009122F6">
            <w:pPr>
              <w:pStyle w:val="Compact"/>
              <w:jc w:val="both"/>
              <w:rPr>
                <w:rFonts w:ascii="Cambria" w:hAnsi="Cambria" w:cs="Tahoma"/>
                <w:b/>
                <w:bCs/>
                <w:sz w:val="22"/>
                <w:szCs w:val="22"/>
              </w:rPr>
            </w:pPr>
            <w:r w:rsidRPr="009122F6">
              <w:rPr>
                <w:rFonts w:ascii="Cambria" w:hAnsi="Cambria" w:cs="Tahoma"/>
                <w:b/>
                <w:bCs/>
                <w:sz w:val="22"/>
                <w:szCs w:val="22"/>
              </w:rPr>
              <w:t>82</w:t>
            </w:r>
          </w:p>
        </w:tc>
      </w:tr>
      <w:tr w:rsidR="0084110A" w:rsidRPr="009122F6" w14:paraId="5E30A1B0" w14:textId="77777777" w:rsidTr="009122F6">
        <w:trPr>
          <w:trHeight w:val="281"/>
        </w:trPr>
        <w:tc>
          <w:tcPr>
            <w:tcW w:w="567" w:type="dxa"/>
          </w:tcPr>
          <w:p w14:paraId="1C5B059C"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2</w:t>
            </w:r>
          </w:p>
        </w:tc>
        <w:tc>
          <w:tcPr>
            <w:tcW w:w="4212" w:type="dxa"/>
          </w:tcPr>
          <w:p w14:paraId="6AF3036B"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Conference Paper</w:t>
            </w:r>
          </w:p>
        </w:tc>
        <w:tc>
          <w:tcPr>
            <w:tcW w:w="2331" w:type="dxa"/>
          </w:tcPr>
          <w:p w14:paraId="07D7003C"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32</w:t>
            </w:r>
          </w:p>
        </w:tc>
      </w:tr>
      <w:tr w:rsidR="0084110A" w:rsidRPr="009122F6" w14:paraId="16793619" w14:textId="77777777" w:rsidTr="009122F6">
        <w:trPr>
          <w:trHeight w:val="272"/>
        </w:trPr>
        <w:tc>
          <w:tcPr>
            <w:tcW w:w="567" w:type="dxa"/>
          </w:tcPr>
          <w:p w14:paraId="0AB7B701"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3</w:t>
            </w:r>
          </w:p>
        </w:tc>
        <w:tc>
          <w:tcPr>
            <w:tcW w:w="4212" w:type="dxa"/>
          </w:tcPr>
          <w:p w14:paraId="44F46194"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Reviews</w:t>
            </w:r>
          </w:p>
        </w:tc>
        <w:tc>
          <w:tcPr>
            <w:tcW w:w="2331" w:type="dxa"/>
          </w:tcPr>
          <w:p w14:paraId="6E5037CA"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7</w:t>
            </w:r>
          </w:p>
        </w:tc>
      </w:tr>
      <w:tr w:rsidR="0084110A" w:rsidRPr="009122F6" w14:paraId="652D3C08" w14:textId="77777777" w:rsidTr="009122F6">
        <w:trPr>
          <w:trHeight w:val="272"/>
        </w:trPr>
        <w:tc>
          <w:tcPr>
            <w:tcW w:w="4779" w:type="dxa"/>
            <w:gridSpan w:val="2"/>
          </w:tcPr>
          <w:p w14:paraId="431D1E58"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Total</w:t>
            </w:r>
          </w:p>
        </w:tc>
        <w:tc>
          <w:tcPr>
            <w:tcW w:w="2331" w:type="dxa"/>
          </w:tcPr>
          <w:p w14:paraId="4F21F7D3" w14:textId="77777777" w:rsidR="0084110A" w:rsidRPr="009122F6" w:rsidRDefault="0084110A" w:rsidP="009122F6">
            <w:pPr>
              <w:pStyle w:val="Compact"/>
              <w:jc w:val="both"/>
              <w:rPr>
                <w:rFonts w:ascii="Cambria" w:hAnsi="Cambria" w:cs="Tahoma"/>
                <w:sz w:val="22"/>
                <w:szCs w:val="22"/>
              </w:rPr>
            </w:pPr>
            <w:r w:rsidRPr="009122F6">
              <w:rPr>
                <w:rFonts w:ascii="Cambria" w:hAnsi="Cambria" w:cs="Tahoma"/>
                <w:sz w:val="22"/>
                <w:szCs w:val="22"/>
              </w:rPr>
              <w:t>121</w:t>
            </w:r>
          </w:p>
        </w:tc>
      </w:tr>
    </w:tbl>
    <w:p w14:paraId="1D1BBEF3" w14:textId="77777777" w:rsidR="0084110A" w:rsidRDefault="0084110A" w:rsidP="0084110A">
      <w:pPr>
        <w:pStyle w:val="BodyText"/>
        <w:rPr>
          <w:rFonts w:ascii="Tahoma" w:hAnsi="Tahoma" w:cs="Tahoma"/>
          <w:b/>
          <w:bCs/>
        </w:rPr>
      </w:pPr>
    </w:p>
    <w:p w14:paraId="18A6E1AD" w14:textId="77777777" w:rsidR="009122F6" w:rsidRDefault="009122F6" w:rsidP="0084110A">
      <w:pPr>
        <w:pStyle w:val="BodyText"/>
        <w:rPr>
          <w:rFonts w:ascii="Tahoma" w:hAnsi="Tahoma" w:cs="Tahoma"/>
          <w:b/>
          <w:bCs/>
        </w:rPr>
      </w:pPr>
    </w:p>
    <w:p w14:paraId="5FCA845C" w14:textId="1E4D761C" w:rsidR="0084110A" w:rsidRPr="009122F6" w:rsidRDefault="0084110A" w:rsidP="0084110A">
      <w:pPr>
        <w:pStyle w:val="BodyText"/>
        <w:rPr>
          <w:rFonts w:ascii="Cambria" w:hAnsi="Cambria" w:cs="Tahoma"/>
          <w:b/>
          <w:bCs/>
        </w:rPr>
      </w:pPr>
      <w:r w:rsidRPr="009122F6">
        <w:rPr>
          <w:rFonts w:ascii="Cambria" w:hAnsi="Cambria" w:cs="Tahoma"/>
          <w:b/>
          <w:bCs/>
        </w:rPr>
        <w:lastRenderedPageBreak/>
        <w:t>Results of the prism method</w:t>
      </w:r>
    </w:p>
    <w:p w14:paraId="7744A485" w14:textId="77777777" w:rsidR="0084110A" w:rsidRDefault="0084110A" w:rsidP="0084110A">
      <w:pPr>
        <w:pStyle w:val="BodyText"/>
        <w:keepNext/>
        <w:jc w:val="center"/>
      </w:pPr>
      <w:r>
        <w:rPr>
          <w:noProof/>
          <w:sz w:val="22"/>
          <w:szCs w:val="22"/>
        </w:rPr>
        <w:drawing>
          <wp:inline distT="0" distB="0" distL="0" distR="0" wp14:anchorId="2F600051" wp14:editId="5D764BF9">
            <wp:extent cx="3343046" cy="3220058"/>
            <wp:effectExtent l="0" t="0" r="0" b="0"/>
            <wp:docPr id="16973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73525" name="Picture 1623073525"/>
                    <pic:cNvPicPr/>
                  </pic:nvPicPr>
                  <pic:blipFill>
                    <a:blip r:embed="rId29">
                      <a:extLst>
                        <a:ext uri="{28A0092B-C50C-407E-A947-70E740481C1C}">
                          <a14:useLocalDpi xmlns:a14="http://schemas.microsoft.com/office/drawing/2010/main" val="0"/>
                        </a:ext>
                      </a:extLst>
                    </a:blip>
                    <a:stretch>
                      <a:fillRect/>
                    </a:stretch>
                  </pic:blipFill>
                  <pic:spPr>
                    <a:xfrm>
                      <a:off x="0" y="0"/>
                      <a:ext cx="3360493" cy="3236863"/>
                    </a:xfrm>
                    <a:prstGeom prst="rect">
                      <a:avLst/>
                    </a:prstGeom>
                  </pic:spPr>
                </pic:pic>
              </a:graphicData>
            </a:graphic>
          </wp:inline>
        </w:drawing>
      </w:r>
    </w:p>
    <w:p w14:paraId="1F688020" w14:textId="646C6E9C" w:rsidR="0084110A" w:rsidRPr="009122F6" w:rsidRDefault="009122F6" w:rsidP="009122F6">
      <w:pPr>
        <w:pStyle w:val="Caption"/>
        <w:jc w:val="center"/>
        <w:rPr>
          <w:rFonts w:ascii="Cambria" w:hAnsi="Cambria"/>
          <w:b/>
          <w:bCs/>
          <w:i w:val="0"/>
          <w:iCs w:val="0"/>
          <w:sz w:val="22"/>
          <w:szCs w:val="22"/>
        </w:rPr>
      </w:pPr>
      <w:r w:rsidRPr="009122F6">
        <w:rPr>
          <w:rFonts w:ascii="Cambria" w:hAnsi="Cambria"/>
          <w:b/>
          <w:bCs/>
          <w:i w:val="0"/>
          <w:sz w:val="22"/>
          <w:szCs w:val="22"/>
        </w:rPr>
        <w:t>Figure</w:t>
      </w:r>
      <w:r w:rsidR="0084110A" w:rsidRPr="009122F6">
        <w:rPr>
          <w:rFonts w:ascii="Cambria" w:hAnsi="Cambria"/>
          <w:b/>
          <w:bCs/>
          <w:i w:val="0"/>
          <w:sz w:val="22"/>
          <w:szCs w:val="22"/>
        </w:rPr>
        <w:t xml:space="preserve"> </w:t>
      </w:r>
      <w:r w:rsidR="0084110A" w:rsidRPr="009122F6">
        <w:rPr>
          <w:rFonts w:ascii="Cambria" w:hAnsi="Cambria"/>
          <w:b/>
          <w:bCs/>
          <w:i w:val="0"/>
          <w:iCs w:val="0"/>
          <w:sz w:val="22"/>
          <w:szCs w:val="22"/>
        </w:rPr>
        <w:fldChar w:fldCharType="begin"/>
      </w:r>
      <w:r w:rsidR="0084110A" w:rsidRPr="009122F6">
        <w:rPr>
          <w:rFonts w:ascii="Cambria" w:hAnsi="Cambria"/>
          <w:b/>
          <w:bCs/>
          <w:i w:val="0"/>
          <w:sz w:val="22"/>
          <w:szCs w:val="22"/>
        </w:rPr>
        <w:instrText xml:space="preserve"> SEQ Gambar_ \* ARABIC </w:instrText>
      </w:r>
      <w:r w:rsidR="0084110A" w:rsidRPr="009122F6">
        <w:rPr>
          <w:rFonts w:ascii="Cambria" w:hAnsi="Cambria"/>
          <w:b/>
          <w:bCs/>
          <w:i w:val="0"/>
          <w:iCs w:val="0"/>
          <w:sz w:val="22"/>
          <w:szCs w:val="22"/>
        </w:rPr>
        <w:fldChar w:fldCharType="separate"/>
      </w:r>
      <w:r w:rsidR="0084110A" w:rsidRPr="009122F6">
        <w:rPr>
          <w:rFonts w:ascii="Cambria" w:hAnsi="Cambria"/>
          <w:b/>
          <w:bCs/>
          <w:i w:val="0"/>
          <w:noProof/>
          <w:sz w:val="22"/>
          <w:szCs w:val="22"/>
        </w:rPr>
        <w:t>17</w:t>
      </w:r>
      <w:r w:rsidR="0084110A" w:rsidRPr="009122F6">
        <w:rPr>
          <w:rFonts w:ascii="Cambria" w:hAnsi="Cambria"/>
          <w:b/>
          <w:bCs/>
          <w:i w:val="0"/>
          <w:iCs w:val="0"/>
          <w:sz w:val="22"/>
          <w:szCs w:val="22"/>
        </w:rPr>
        <w:fldChar w:fldCharType="end"/>
      </w:r>
      <w:r w:rsidRPr="009122F6">
        <w:rPr>
          <w:rFonts w:ascii="Cambria" w:hAnsi="Cambria"/>
          <w:b/>
          <w:bCs/>
          <w:i w:val="0"/>
          <w:iCs w:val="0"/>
          <w:sz w:val="22"/>
          <w:szCs w:val="22"/>
        </w:rPr>
        <w:t>.</w:t>
      </w:r>
      <w:r w:rsidR="0084110A" w:rsidRPr="009122F6">
        <w:rPr>
          <w:rFonts w:ascii="Cambria" w:hAnsi="Cambria"/>
          <w:i w:val="0"/>
          <w:sz w:val="22"/>
          <w:szCs w:val="22"/>
        </w:rPr>
        <w:t xml:space="preserve"> Results of the prism method</w:t>
      </w:r>
    </w:p>
    <w:p w14:paraId="0707FE35" w14:textId="65742700" w:rsidR="0084110A" w:rsidRPr="009122F6" w:rsidRDefault="0084110A" w:rsidP="009122F6">
      <w:pPr>
        <w:pStyle w:val="BodyText"/>
        <w:jc w:val="both"/>
        <w:rPr>
          <w:rFonts w:ascii="Cambria" w:hAnsi="Cambria" w:cs="Tahoma"/>
          <w:sz w:val="22"/>
          <w:szCs w:val="22"/>
        </w:rPr>
      </w:pPr>
      <w:r w:rsidRPr="009122F6">
        <w:rPr>
          <w:rFonts w:ascii="Cambria" w:hAnsi="Cambria" w:cs="Tahoma"/>
          <w:sz w:val="22"/>
          <w:szCs w:val="22"/>
        </w:rPr>
        <w:t>In Figure 17 above, the process of selecting articles in this systematic review is carried out with reference to the PRISMA (Preferred Reporting Items for Systematic Reviews and Meta-Analyses) guidelines and is described in detail through the flow chart in the PRISMA Figure above</w:t>
      </w:r>
      <w:r w:rsidR="00D10010">
        <w:rPr>
          <w:rFonts w:ascii="Cambria" w:hAnsi="Cambria" w:cs="Tahoma"/>
          <w:sz w:val="22"/>
          <w:szCs w:val="22"/>
        </w:rPr>
        <w:t xml:space="preserve"> </w:t>
      </w:r>
      <w:r w:rsidR="00D10010">
        <w:rPr>
          <w:rFonts w:ascii="Cambria" w:hAnsi="Cambria" w:cs="Tahoma"/>
          <w:sz w:val="22"/>
          <w:szCs w:val="22"/>
        </w:rPr>
        <w:fldChar w:fldCharType="begin" w:fldLock="1"/>
      </w:r>
      <w:r w:rsidR="00D10010">
        <w:rPr>
          <w:rFonts w:ascii="Cambria" w:hAnsi="Cambria" w:cs="Tahoma"/>
          <w:sz w:val="22"/>
          <w:szCs w:val="22"/>
        </w:rPr>
        <w:instrText>ADDIN CSL_CITATION {"citationItems":[{"id":"ITEM-1","itemData":{"DOI":"10.1016/j.ijsu.2021.105918","ISSN":"17439159","PMID":"33789825","abstract":"The Preferred Reporting Items for Systematic reviews and Meta-Analyses (PRISMA) statement, first published in 2009 [1], was developed in an attempt to increase the clarity, transparency, quality and value of these reports [2]. The 27-item checklist and four-phase flow diagram have become the hallmark of academic rigour in the publication of systematic reviews and meta-analyses, having been cited by over 60,000 papers [3]. These are frequently endorsed by journals in their ‘Instructions to Authors’ [4]. Developments in the methodology and terminology used when conducting systematic reviews [5], alongside the identification of limitations responsible for poor adherence, such as the use of ambiguous wording [6], have warranted an update to the PRISMA statement. The PRISMA 2020 statement, therefore, is intended to reflect this recent evolution in the identification, selection, appraisal and synthesis of research [7]. Here, we present an interpretive analysis of the updated statement, with a view towards encouraging its adoption by both journals and authors in the pursuit of advancing evidence-based medicine.","author":[{"dropping-particle":"","family":"Sohrabi","given":"Catrin","non-dropping-particle":"","parse-names":false,"suffix":""},{"dropping-particle":"","family":"Franchi","given":"Thomas","non-dropping-particle":"","parse-names":false,"suffix":""},{"dropping-particle":"","family":"Mathew","given":"Ginimol","non-dropping-particle":"","parse-names":false,"suffix":""},{"dropping-particle":"","family":"Kerwan","given":"Ahmed","non-dropping-particle":"","parse-names":false,"suffix":""},{"dropping-particle":"","family":"Nicola","given":"Maria","non-dropping-particle":"","parse-names":false,"suffix":""},{"dropping-particle":"","family":"Griffin","given":"Michelle","non-dropping-particle":"","parse-names":false,"suffix":""},{"dropping-particle":"","family":"Agha","given":"Maliha","non-dropping-particle":"","parse-names":false,"suffix":""},{"dropping-particle":"","family":"Agha","given":"Riaz","non-dropping-particle":"","parse-names":false,"suffix":""}],"container-title":"International Journal of Surgery","id":"ITEM-1","issue":"March","issued":{"date-parts":[["2021"]]},"page":"39-42","title":"PRISMA 2020 statement: What's new and the importance of reporting guidelines","type":"article-journal","volume":"88"},"uris":["http://www.mendeley.com/documents/?uuid=0cc587ca-7d44-424e-b513-70a7e5c93072"]}],"mendeley":{"formattedCitation":"(Sohrabi et al., 2021)","plainTextFormattedCitation":"(Sohrabi et al., 2021)","previouslyFormattedCitation":"(Sohrabi et al., 2021)"},"properties":{"noteIndex":0},"schema":"https://github.com/citation-style-language/schema/raw/master/csl-citation.json"}</w:instrText>
      </w:r>
      <w:r w:rsidR="00D10010">
        <w:rPr>
          <w:rFonts w:ascii="Cambria" w:hAnsi="Cambria" w:cs="Tahoma"/>
          <w:sz w:val="22"/>
          <w:szCs w:val="22"/>
        </w:rPr>
        <w:fldChar w:fldCharType="separate"/>
      </w:r>
      <w:r w:rsidR="00D10010" w:rsidRPr="00D10010">
        <w:rPr>
          <w:rFonts w:ascii="Cambria" w:hAnsi="Cambria" w:cs="Tahoma"/>
          <w:noProof/>
          <w:sz w:val="22"/>
          <w:szCs w:val="22"/>
        </w:rPr>
        <w:t>(Sohrabi et al., 2021)</w:t>
      </w:r>
      <w:r w:rsidR="00D10010">
        <w:rPr>
          <w:rFonts w:ascii="Cambria" w:hAnsi="Cambria" w:cs="Tahoma"/>
          <w:sz w:val="22"/>
          <w:szCs w:val="22"/>
        </w:rPr>
        <w:fldChar w:fldCharType="end"/>
      </w:r>
      <w:r w:rsidRPr="009122F6">
        <w:rPr>
          <w:rFonts w:ascii="Cambria" w:hAnsi="Cambria" w:cs="Tahoma"/>
          <w:sz w:val="22"/>
          <w:szCs w:val="22"/>
        </w:rPr>
        <w:t>. This process consists of four main stages, namely identification, screening, eligibility, and inclusion.</w:t>
      </w:r>
    </w:p>
    <w:p w14:paraId="58AFDBAB" w14:textId="77777777" w:rsidR="0084110A" w:rsidRPr="009122F6" w:rsidRDefault="0084110A" w:rsidP="009122F6">
      <w:pPr>
        <w:pStyle w:val="BodyText"/>
        <w:jc w:val="both"/>
        <w:rPr>
          <w:rFonts w:ascii="Cambria" w:hAnsi="Cambria" w:cs="Tahoma"/>
          <w:sz w:val="22"/>
          <w:szCs w:val="22"/>
        </w:rPr>
      </w:pPr>
      <w:r w:rsidRPr="009122F6">
        <w:rPr>
          <w:rFonts w:ascii="Cambria" w:hAnsi="Cambria" w:cs="Tahoma"/>
          <w:sz w:val="22"/>
          <w:szCs w:val="22"/>
        </w:rPr>
        <w:t>At the identification stage, the researcher obtained a total of 136 records from two main sources, namely from scientific databases as many as 126 records and from research records as many as 10 records. Furthermore, early deletion of records that do not meet the basic criteria is carried out. A total of 15 records were issued, with details of 4 records being duplicates, 6 records were deemed unsuitable by the automatic selection tool, and 5 other records were deleted for other reasons that were not specifically explained (e.g. records were incomplete or irrelevant to the topic of the study). Thus, the number of records that entered the screening stage was 121 records.</w:t>
      </w:r>
    </w:p>
    <w:p w14:paraId="6D8B1399" w14:textId="77777777" w:rsidR="0084110A" w:rsidRPr="009122F6" w:rsidRDefault="0084110A" w:rsidP="009122F6">
      <w:pPr>
        <w:pStyle w:val="BodyText"/>
        <w:jc w:val="both"/>
        <w:rPr>
          <w:rFonts w:ascii="Cambria" w:hAnsi="Cambria" w:cs="Tahoma"/>
          <w:sz w:val="22"/>
          <w:szCs w:val="22"/>
        </w:rPr>
      </w:pPr>
      <w:r w:rsidRPr="009122F6">
        <w:rPr>
          <w:rFonts w:ascii="Cambria" w:hAnsi="Cambria" w:cs="Tahoma"/>
          <w:sz w:val="22"/>
          <w:szCs w:val="22"/>
        </w:rPr>
        <w:t>The screening stage is carried out by examining the title and abstract of each note. This process aims to identify studies that are relevant to the focus of the review. Of the total 121 records, 39 were excluded because they did not meet the inclusion criteria, such as topic mismatches, irrelevant research methods, or inappropriate population coverage. The results of this stage resulted in 82 records that were deemed worthy of full-text search.</w:t>
      </w:r>
    </w:p>
    <w:p w14:paraId="0B7BC4AE" w14:textId="77777777" w:rsidR="0084110A" w:rsidRPr="009122F6" w:rsidRDefault="0084110A" w:rsidP="009122F6">
      <w:pPr>
        <w:pStyle w:val="BodyText"/>
        <w:jc w:val="both"/>
        <w:rPr>
          <w:rFonts w:ascii="Cambria" w:hAnsi="Cambria" w:cs="Tahoma"/>
          <w:sz w:val="22"/>
          <w:szCs w:val="22"/>
        </w:rPr>
      </w:pPr>
      <w:r w:rsidRPr="009122F6">
        <w:rPr>
          <w:rFonts w:ascii="Cambria" w:hAnsi="Cambria" w:cs="Tahoma"/>
          <w:sz w:val="22"/>
          <w:szCs w:val="22"/>
        </w:rPr>
        <w:t>Furthermore, at the feasibility assessment stage, a search was carried out for the complete report of the 82 records. However, as many as 10 reports were not successfully accessed, so only 72 reports could be further assessed. Each report obtained is thoroughly analyzed to ensure methodological suitability, completeness of data, and relevance to the research question. In this process, 2 reports were issued due to data errors, such as inconsistencies between results and methods, or data that could not be processed systematically.</w:t>
      </w:r>
    </w:p>
    <w:p w14:paraId="3B7704D2" w14:textId="77777777" w:rsidR="009122F6" w:rsidRDefault="0084110A" w:rsidP="009122F6">
      <w:pPr>
        <w:pStyle w:val="BodyText"/>
        <w:jc w:val="both"/>
        <w:rPr>
          <w:rFonts w:ascii="Cambria" w:hAnsi="Cambria" w:cs="Tahoma"/>
          <w:sz w:val="22"/>
          <w:szCs w:val="22"/>
        </w:rPr>
      </w:pPr>
      <w:r w:rsidRPr="009122F6">
        <w:rPr>
          <w:rFonts w:ascii="Cambria" w:hAnsi="Cambria" w:cs="Tahoma"/>
          <w:sz w:val="22"/>
          <w:szCs w:val="22"/>
        </w:rPr>
        <w:t xml:space="preserve">The last stage is inclusivity, where as many as 70 studies were declared to meet the criteria and included in the final review. This number is identical to the number of reports from the study, which means that each study has one main report analyzed. This selection process shows that out of 136 initial records, only about 51.5% managed to pass to the final stage, reflecting the application of a strict selection based on objective and structured criteria. The following is a more precise classification of research methodologies based on the type of research (quantitative, experimental, </w:t>
      </w:r>
      <w:r w:rsidRPr="009122F6">
        <w:rPr>
          <w:rFonts w:ascii="Cambria" w:hAnsi="Cambria" w:cs="Tahoma"/>
          <w:sz w:val="22"/>
          <w:szCs w:val="22"/>
        </w:rPr>
        <w:lastRenderedPageBreak/>
        <w:t>observational, qualitative, conceptual, mixed and systematic review), with the number of papers and the percentage:</w:t>
      </w:r>
    </w:p>
    <w:p w14:paraId="56690FEE" w14:textId="450DDE78" w:rsidR="0084110A" w:rsidRPr="009122F6" w:rsidRDefault="0084110A" w:rsidP="009122F6">
      <w:pPr>
        <w:pStyle w:val="BodyText"/>
        <w:jc w:val="center"/>
        <w:rPr>
          <w:rFonts w:ascii="Cambria" w:hAnsi="Cambria" w:cs="Tahoma"/>
          <w:sz w:val="22"/>
          <w:szCs w:val="22"/>
        </w:rPr>
      </w:pPr>
      <w:r w:rsidRPr="009122F6">
        <w:rPr>
          <w:rFonts w:ascii="Cambria" w:hAnsi="Cambria" w:cs="Tahoma"/>
          <w:b/>
          <w:bCs/>
          <w:iCs/>
          <w:sz w:val="22"/>
          <w:szCs w:val="22"/>
        </w:rPr>
        <w:t xml:space="preserve">Table </w:t>
      </w:r>
      <w:r w:rsidRPr="009122F6">
        <w:rPr>
          <w:rFonts w:ascii="Cambria" w:hAnsi="Cambria" w:cs="Tahoma"/>
          <w:b/>
          <w:bCs/>
          <w:i/>
          <w:iCs/>
          <w:sz w:val="22"/>
          <w:szCs w:val="22"/>
        </w:rPr>
        <w:fldChar w:fldCharType="begin"/>
      </w:r>
      <w:r w:rsidRPr="009122F6">
        <w:rPr>
          <w:rFonts w:ascii="Cambria" w:hAnsi="Cambria" w:cs="Tahoma"/>
          <w:b/>
          <w:bCs/>
          <w:iCs/>
          <w:sz w:val="22"/>
          <w:szCs w:val="22"/>
        </w:rPr>
        <w:instrText xml:space="preserve"> SEQ Tabel \* ARABIC </w:instrText>
      </w:r>
      <w:r w:rsidRPr="009122F6">
        <w:rPr>
          <w:rFonts w:ascii="Cambria" w:hAnsi="Cambria" w:cs="Tahoma"/>
          <w:b/>
          <w:bCs/>
          <w:i/>
          <w:iCs/>
          <w:sz w:val="22"/>
          <w:szCs w:val="22"/>
        </w:rPr>
        <w:fldChar w:fldCharType="separate"/>
      </w:r>
      <w:r w:rsidRPr="009122F6">
        <w:rPr>
          <w:rFonts w:ascii="Cambria" w:hAnsi="Cambria" w:cs="Tahoma"/>
          <w:b/>
          <w:bCs/>
          <w:iCs/>
          <w:noProof/>
          <w:sz w:val="22"/>
          <w:szCs w:val="22"/>
        </w:rPr>
        <w:t>6</w:t>
      </w:r>
      <w:r w:rsidRPr="009122F6">
        <w:rPr>
          <w:rFonts w:ascii="Cambria" w:hAnsi="Cambria" w:cs="Tahoma"/>
          <w:b/>
          <w:bCs/>
          <w:i/>
          <w:iCs/>
          <w:sz w:val="22"/>
          <w:szCs w:val="22"/>
        </w:rPr>
        <w:fldChar w:fldCharType="end"/>
      </w:r>
      <w:r w:rsidR="009122F6" w:rsidRPr="009122F6">
        <w:rPr>
          <w:rFonts w:ascii="Cambria" w:hAnsi="Cambria" w:cs="Tahoma"/>
          <w:b/>
          <w:bCs/>
          <w:sz w:val="22"/>
          <w:szCs w:val="22"/>
        </w:rPr>
        <w:t>.</w:t>
      </w:r>
      <w:r w:rsidRPr="009122F6">
        <w:rPr>
          <w:rFonts w:ascii="Cambria" w:hAnsi="Cambria" w:cs="Tahoma"/>
          <w:iCs/>
          <w:sz w:val="22"/>
          <w:szCs w:val="22"/>
        </w:rPr>
        <w:t xml:space="preserve"> Classification of types of research methods</w:t>
      </w:r>
    </w:p>
    <w:tbl>
      <w:tblPr>
        <w:tblStyle w:val="Table"/>
        <w:tblW w:w="0" w:type="auto"/>
        <w:tblLook w:val="0020" w:firstRow="1" w:lastRow="0" w:firstColumn="0" w:lastColumn="0" w:noHBand="0" w:noVBand="0"/>
      </w:tblPr>
      <w:tblGrid>
        <w:gridCol w:w="1730"/>
        <w:gridCol w:w="1227"/>
        <w:gridCol w:w="1352"/>
        <w:gridCol w:w="5034"/>
      </w:tblGrid>
      <w:tr w:rsidR="0084110A" w:rsidRPr="009122F6" w14:paraId="7D51304C" w14:textId="77777777" w:rsidTr="00236530">
        <w:trPr>
          <w:cnfStyle w:val="100000000000" w:firstRow="1" w:lastRow="0" w:firstColumn="0" w:lastColumn="0" w:oddVBand="0" w:evenVBand="0" w:oddHBand="0" w:evenHBand="0" w:firstRowFirstColumn="0" w:firstRowLastColumn="0" w:lastRowFirstColumn="0" w:lastRowLastColumn="0"/>
          <w:tblHeader/>
        </w:trPr>
        <w:tc>
          <w:tcPr>
            <w:tcW w:w="0" w:type="auto"/>
          </w:tcPr>
          <w:p w14:paraId="1795057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Types of Research</w:t>
            </w:r>
          </w:p>
        </w:tc>
        <w:tc>
          <w:tcPr>
            <w:tcW w:w="0" w:type="auto"/>
          </w:tcPr>
          <w:p w14:paraId="4AFF5E34"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Number of Papers</w:t>
            </w:r>
          </w:p>
        </w:tc>
        <w:tc>
          <w:tcPr>
            <w:tcW w:w="0" w:type="auto"/>
          </w:tcPr>
          <w:p w14:paraId="41CDBEAB"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Percentage</w:t>
            </w:r>
          </w:p>
        </w:tc>
        <w:tc>
          <w:tcPr>
            <w:tcW w:w="0" w:type="auto"/>
          </w:tcPr>
          <w:p w14:paraId="0D186E6E"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Characteristics &amp; Examples</w:t>
            </w:r>
          </w:p>
        </w:tc>
      </w:tr>
      <w:tr w:rsidR="0084110A" w:rsidRPr="009122F6" w14:paraId="60521354" w14:textId="77777777" w:rsidTr="00236530">
        <w:tc>
          <w:tcPr>
            <w:tcW w:w="0" w:type="auto"/>
          </w:tcPr>
          <w:p w14:paraId="2EB6D89C"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Quantitative</w:t>
            </w:r>
          </w:p>
        </w:tc>
        <w:tc>
          <w:tcPr>
            <w:tcW w:w="0" w:type="auto"/>
          </w:tcPr>
          <w:p w14:paraId="37A09C0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45</w:t>
            </w:r>
          </w:p>
        </w:tc>
        <w:tc>
          <w:tcPr>
            <w:tcW w:w="0" w:type="auto"/>
          </w:tcPr>
          <w:p w14:paraId="278EC410"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64.3%</w:t>
            </w:r>
          </w:p>
        </w:tc>
        <w:tc>
          <w:tcPr>
            <w:tcW w:w="0" w:type="auto"/>
          </w:tcPr>
          <w:p w14:paraId="2B045588"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Using numerical data, statistical analysis, and computational </w:t>
            </w:r>
            <w:proofErr w:type="gramStart"/>
            <w:r w:rsidRPr="009122F6">
              <w:rPr>
                <w:rFonts w:ascii="Cambria" w:hAnsi="Cambria"/>
                <w:sz w:val="22"/>
                <w:szCs w:val="22"/>
              </w:rPr>
              <w:t>models.-</w:t>
            </w:r>
            <w:proofErr w:type="gramEnd"/>
            <w:r w:rsidRPr="009122F6">
              <w:rPr>
                <w:rFonts w:ascii="Cambria" w:hAnsi="Cambria"/>
                <w:sz w:val="22"/>
                <w:szCs w:val="22"/>
              </w:rPr>
              <w:t xml:space="preserve"> Examples: Research with machine learning, statistical analysis, or controlled experiments.</w:t>
            </w:r>
          </w:p>
        </w:tc>
      </w:tr>
      <w:tr w:rsidR="0084110A" w:rsidRPr="009122F6" w14:paraId="60674576" w14:textId="77777777" w:rsidTr="00236530">
        <w:tc>
          <w:tcPr>
            <w:tcW w:w="0" w:type="auto"/>
          </w:tcPr>
          <w:p w14:paraId="47BC5DF3"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Experimental</w:t>
            </w:r>
          </w:p>
        </w:tc>
        <w:tc>
          <w:tcPr>
            <w:tcW w:w="0" w:type="auto"/>
          </w:tcPr>
          <w:p w14:paraId="206D045A"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15</w:t>
            </w:r>
          </w:p>
        </w:tc>
        <w:tc>
          <w:tcPr>
            <w:tcW w:w="0" w:type="auto"/>
          </w:tcPr>
          <w:p w14:paraId="114CB8B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21.4%</w:t>
            </w:r>
          </w:p>
        </w:tc>
        <w:tc>
          <w:tcPr>
            <w:tcW w:w="0" w:type="auto"/>
          </w:tcPr>
          <w:p w14:paraId="47569A39"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Controlled design with intervention or </w:t>
            </w:r>
            <w:proofErr w:type="gramStart"/>
            <w:r w:rsidRPr="009122F6">
              <w:rPr>
                <w:rFonts w:ascii="Cambria" w:hAnsi="Cambria"/>
                <w:sz w:val="22"/>
                <w:szCs w:val="22"/>
              </w:rPr>
              <w:t>treatment.-</w:t>
            </w:r>
            <w:proofErr w:type="gramEnd"/>
            <w:r w:rsidRPr="009122F6">
              <w:rPr>
                <w:rFonts w:ascii="Cambria" w:hAnsi="Cambria"/>
                <w:sz w:val="22"/>
                <w:szCs w:val="22"/>
              </w:rPr>
              <w:t xml:space="preserve"> Example: Trial of AI models on specific datasets, laboratory experiments.</w:t>
            </w:r>
          </w:p>
        </w:tc>
      </w:tr>
      <w:tr w:rsidR="0084110A" w:rsidRPr="009122F6" w14:paraId="52F0B7D6" w14:textId="77777777" w:rsidTr="00236530">
        <w:tc>
          <w:tcPr>
            <w:tcW w:w="0" w:type="auto"/>
          </w:tcPr>
          <w:p w14:paraId="74E0A804"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Observational</w:t>
            </w:r>
          </w:p>
        </w:tc>
        <w:tc>
          <w:tcPr>
            <w:tcW w:w="0" w:type="auto"/>
          </w:tcPr>
          <w:p w14:paraId="699A8DB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12</w:t>
            </w:r>
          </w:p>
        </w:tc>
        <w:tc>
          <w:tcPr>
            <w:tcW w:w="0" w:type="auto"/>
          </w:tcPr>
          <w:p w14:paraId="693BDE2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17.1%</w:t>
            </w:r>
          </w:p>
        </w:tc>
        <w:tc>
          <w:tcPr>
            <w:tcW w:w="0" w:type="auto"/>
          </w:tcPr>
          <w:p w14:paraId="38C75ABC"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Observation without intervention, retrospective/prospective </w:t>
            </w:r>
            <w:proofErr w:type="gramStart"/>
            <w:r w:rsidRPr="009122F6">
              <w:rPr>
                <w:rFonts w:ascii="Cambria" w:hAnsi="Cambria"/>
                <w:sz w:val="22"/>
                <w:szCs w:val="22"/>
              </w:rPr>
              <w:t>analysis.-</w:t>
            </w:r>
            <w:proofErr w:type="gramEnd"/>
            <w:r w:rsidRPr="009122F6">
              <w:rPr>
                <w:rFonts w:ascii="Cambria" w:hAnsi="Cambria"/>
                <w:sz w:val="22"/>
                <w:szCs w:val="22"/>
              </w:rPr>
              <w:t xml:space="preserve"> Example: Clinical case study, secondary data analysis.</w:t>
            </w:r>
          </w:p>
        </w:tc>
      </w:tr>
      <w:tr w:rsidR="0084110A" w:rsidRPr="009122F6" w14:paraId="44E77FAC" w14:textId="77777777" w:rsidTr="00236530">
        <w:tc>
          <w:tcPr>
            <w:tcW w:w="0" w:type="auto"/>
          </w:tcPr>
          <w:p w14:paraId="77C968E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Qualitative</w:t>
            </w:r>
          </w:p>
        </w:tc>
        <w:tc>
          <w:tcPr>
            <w:tcW w:w="0" w:type="auto"/>
          </w:tcPr>
          <w:p w14:paraId="04CA4FC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w:t>
            </w:r>
          </w:p>
        </w:tc>
        <w:tc>
          <w:tcPr>
            <w:tcW w:w="0" w:type="auto"/>
          </w:tcPr>
          <w:p w14:paraId="6063EB8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7.1%</w:t>
            </w:r>
          </w:p>
        </w:tc>
        <w:tc>
          <w:tcPr>
            <w:tcW w:w="0" w:type="auto"/>
          </w:tcPr>
          <w:p w14:paraId="74503AAA"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Interviews, content analysis, or phenomenological </w:t>
            </w:r>
            <w:proofErr w:type="gramStart"/>
            <w:r w:rsidRPr="009122F6">
              <w:rPr>
                <w:rFonts w:ascii="Cambria" w:hAnsi="Cambria"/>
                <w:sz w:val="22"/>
                <w:szCs w:val="22"/>
              </w:rPr>
              <w:t>studies.-</w:t>
            </w:r>
            <w:proofErr w:type="gramEnd"/>
            <w:r w:rsidRPr="009122F6">
              <w:rPr>
                <w:rFonts w:ascii="Cambria" w:hAnsi="Cambria"/>
                <w:sz w:val="22"/>
                <w:szCs w:val="22"/>
              </w:rPr>
              <w:t xml:space="preserve"> Examples: Studies of user perceptions of technology.</w:t>
            </w:r>
          </w:p>
        </w:tc>
      </w:tr>
      <w:tr w:rsidR="0084110A" w:rsidRPr="009122F6" w14:paraId="70E132CA" w14:textId="77777777" w:rsidTr="00236530">
        <w:tc>
          <w:tcPr>
            <w:tcW w:w="0" w:type="auto"/>
          </w:tcPr>
          <w:p w14:paraId="0019C354"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Mixed Methods</w:t>
            </w:r>
          </w:p>
        </w:tc>
        <w:tc>
          <w:tcPr>
            <w:tcW w:w="0" w:type="auto"/>
          </w:tcPr>
          <w:p w14:paraId="776718D2"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w:t>
            </w:r>
          </w:p>
        </w:tc>
        <w:tc>
          <w:tcPr>
            <w:tcW w:w="0" w:type="auto"/>
          </w:tcPr>
          <w:p w14:paraId="4930300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5.7%</w:t>
            </w:r>
          </w:p>
        </w:tc>
        <w:tc>
          <w:tcPr>
            <w:tcW w:w="0" w:type="auto"/>
          </w:tcPr>
          <w:p w14:paraId="58AFF1EF"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A combination of quantitative and qualitative </w:t>
            </w:r>
            <w:proofErr w:type="gramStart"/>
            <w:r w:rsidRPr="009122F6">
              <w:rPr>
                <w:rFonts w:ascii="Cambria" w:hAnsi="Cambria"/>
                <w:sz w:val="22"/>
                <w:szCs w:val="22"/>
              </w:rPr>
              <w:t>approaches.-</w:t>
            </w:r>
            <w:proofErr w:type="gramEnd"/>
            <w:r w:rsidRPr="009122F6">
              <w:rPr>
                <w:rFonts w:ascii="Cambria" w:hAnsi="Cambria"/>
                <w:sz w:val="22"/>
                <w:szCs w:val="22"/>
              </w:rPr>
              <w:t xml:space="preserve"> Examples: Surveys + interviews, or statistical analysis + case studies.</w:t>
            </w:r>
          </w:p>
        </w:tc>
      </w:tr>
      <w:tr w:rsidR="0084110A" w:rsidRPr="009122F6" w14:paraId="639EA8AC" w14:textId="77777777" w:rsidTr="00236530">
        <w:tc>
          <w:tcPr>
            <w:tcW w:w="0" w:type="auto"/>
          </w:tcPr>
          <w:p w14:paraId="0A666ED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Systematic Review</w:t>
            </w:r>
          </w:p>
        </w:tc>
        <w:tc>
          <w:tcPr>
            <w:tcW w:w="0" w:type="auto"/>
          </w:tcPr>
          <w:p w14:paraId="16B6E08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6</w:t>
            </w:r>
          </w:p>
        </w:tc>
        <w:tc>
          <w:tcPr>
            <w:tcW w:w="0" w:type="auto"/>
          </w:tcPr>
          <w:p w14:paraId="00D0A49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8.6%</w:t>
            </w:r>
          </w:p>
        </w:tc>
        <w:tc>
          <w:tcPr>
            <w:tcW w:w="0" w:type="auto"/>
          </w:tcPr>
          <w:p w14:paraId="5F47E164"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Synthesis of literature with a structured methodology (PRISMA</w:t>
            </w:r>
            <w:proofErr w:type="gramStart"/>
            <w:r w:rsidRPr="009122F6">
              <w:rPr>
                <w:rFonts w:ascii="Cambria" w:hAnsi="Cambria"/>
                <w:sz w:val="22"/>
                <w:szCs w:val="22"/>
              </w:rPr>
              <w:t>).-</w:t>
            </w:r>
            <w:proofErr w:type="gramEnd"/>
            <w:r w:rsidRPr="009122F6">
              <w:rPr>
                <w:rFonts w:ascii="Cambria" w:hAnsi="Cambria"/>
                <w:sz w:val="22"/>
                <w:szCs w:val="22"/>
              </w:rPr>
              <w:t xml:space="preserve"> Example: Review of AI in education.</w:t>
            </w:r>
          </w:p>
        </w:tc>
      </w:tr>
      <w:tr w:rsidR="0084110A" w:rsidRPr="009122F6" w14:paraId="1E3D816C" w14:textId="77777777" w:rsidTr="00236530">
        <w:tc>
          <w:tcPr>
            <w:tcW w:w="0" w:type="auto"/>
          </w:tcPr>
          <w:p w14:paraId="58B9B0A4"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Conceptual</w:t>
            </w:r>
          </w:p>
        </w:tc>
        <w:tc>
          <w:tcPr>
            <w:tcW w:w="0" w:type="auto"/>
          </w:tcPr>
          <w:p w14:paraId="66BA5B78"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w:t>
            </w:r>
          </w:p>
        </w:tc>
        <w:tc>
          <w:tcPr>
            <w:tcW w:w="0" w:type="auto"/>
          </w:tcPr>
          <w:p w14:paraId="1653E6E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4.3%</w:t>
            </w:r>
          </w:p>
        </w:tc>
        <w:tc>
          <w:tcPr>
            <w:tcW w:w="0" w:type="auto"/>
          </w:tcPr>
          <w:p w14:paraId="2BCE23BB" w14:textId="77777777" w:rsidR="0084110A" w:rsidRPr="009122F6" w:rsidRDefault="0084110A" w:rsidP="009122F6">
            <w:pPr>
              <w:pStyle w:val="Compact"/>
              <w:jc w:val="both"/>
              <w:rPr>
                <w:rFonts w:ascii="Cambria" w:hAnsi="Cambria"/>
                <w:sz w:val="22"/>
                <w:szCs w:val="22"/>
              </w:rPr>
            </w:pPr>
            <w:r w:rsidRPr="009122F6">
              <w:rPr>
                <w:rFonts w:ascii="Cambria" w:hAnsi="Cambria"/>
                <w:sz w:val="22"/>
                <w:szCs w:val="22"/>
              </w:rPr>
              <w:t xml:space="preserve">- Theories, models, or frameworks without empirical </w:t>
            </w:r>
            <w:proofErr w:type="gramStart"/>
            <w:r w:rsidRPr="009122F6">
              <w:rPr>
                <w:rFonts w:ascii="Cambria" w:hAnsi="Cambria"/>
                <w:sz w:val="22"/>
                <w:szCs w:val="22"/>
              </w:rPr>
              <w:t>data.-</w:t>
            </w:r>
            <w:proofErr w:type="gramEnd"/>
            <w:r w:rsidRPr="009122F6">
              <w:rPr>
                <w:rFonts w:ascii="Cambria" w:hAnsi="Cambria"/>
                <w:sz w:val="22"/>
                <w:szCs w:val="22"/>
              </w:rPr>
              <w:t xml:space="preserve"> Example: A proposal for a new system architecture.</w:t>
            </w:r>
          </w:p>
        </w:tc>
      </w:tr>
      <w:tr w:rsidR="0084110A" w:rsidRPr="009122F6" w14:paraId="3DD57620" w14:textId="77777777" w:rsidTr="00236530">
        <w:tc>
          <w:tcPr>
            <w:tcW w:w="0" w:type="auto"/>
          </w:tcPr>
          <w:p w14:paraId="389AC076"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Total</w:t>
            </w:r>
          </w:p>
        </w:tc>
        <w:tc>
          <w:tcPr>
            <w:tcW w:w="0" w:type="auto"/>
          </w:tcPr>
          <w:p w14:paraId="23D6397F"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70</w:t>
            </w:r>
          </w:p>
        </w:tc>
        <w:tc>
          <w:tcPr>
            <w:tcW w:w="0" w:type="auto"/>
          </w:tcPr>
          <w:p w14:paraId="6C6893AD"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100%</w:t>
            </w:r>
          </w:p>
        </w:tc>
        <w:tc>
          <w:tcPr>
            <w:tcW w:w="0" w:type="auto"/>
          </w:tcPr>
          <w:p w14:paraId="02F64C30" w14:textId="77777777" w:rsidR="0084110A" w:rsidRPr="009122F6" w:rsidRDefault="0084110A" w:rsidP="009122F6">
            <w:pPr>
              <w:pStyle w:val="Compact"/>
              <w:jc w:val="center"/>
              <w:rPr>
                <w:rFonts w:ascii="Cambria" w:hAnsi="Cambria"/>
                <w:sz w:val="22"/>
                <w:szCs w:val="22"/>
              </w:rPr>
            </w:pPr>
          </w:p>
        </w:tc>
      </w:tr>
    </w:tbl>
    <w:p w14:paraId="4121754E" w14:textId="77777777" w:rsidR="0084110A" w:rsidRPr="009122F6" w:rsidRDefault="0084110A" w:rsidP="0084110A">
      <w:pPr>
        <w:pStyle w:val="BodyText"/>
        <w:jc w:val="both"/>
        <w:rPr>
          <w:rFonts w:ascii="Cambria" w:hAnsi="Cambria" w:cs="Tahoma"/>
          <w:sz w:val="22"/>
          <w:szCs w:val="22"/>
        </w:rPr>
      </w:pPr>
      <w:r w:rsidRPr="009122F6">
        <w:rPr>
          <w:rFonts w:ascii="Cambria" w:hAnsi="Cambria" w:cs="Tahoma"/>
          <w:b/>
          <w:bCs/>
          <w:sz w:val="22"/>
          <w:szCs w:val="22"/>
        </w:rPr>
        <w:t>In table 6</w:t>
      </w:r>
      <w:r w:rsidRPr="009122F6">
        <w:rPr>
          <w:rFonts w:ascii="Cambria" w:hAnsi="Cambria" w:cs="Tahoma"/>
          <w:sz w:val="22"/>
          <w:szCs w:val="22"/>
        </w:rPr>
        <w:t>, the classification of research methodologies explains that quantitative research dominates (64.3%) due to trends in the use of data, statistics, and algorithms such as machine learning. Experimental research (21.4%) is common in the medical and educational fields because it focuses on controlled trials, while observational (17.1%) is more commonly used for retrospective studies without intervention. Qualitative research (7.1%) was used to explore perceptions or behaviors, and mixed methods (5.7%) combined numerical and narrative data to gain more comprehensive insights. A systematic review (8.6%) was conducted to synthesize the literature and identify trends, while conceptual research (4.3%) was theoretical with no empirical data. Overall, quantitative dominance reflects the trends of data-driven research and AI, while other approaches remain important to social, pedagogical contexts, and theory development. The following is the classification of Main Findings based on the main findings category, the number of papers and the percentage:</w:t>
      </w:r>
    </w:p>
    <w:p w14:paraId="3B9E0D59" w14:textId="0B282622" w:rsidR="0084110A" w:rsidRPr="009122F6" w:rsidRDefault="0084110A" w:rsidP="0084110A">
      <w:pPr>
        <w:pStyle w:val="Caption"/>
        <w:keepNext/>
        <w:jc w:val="center"/>
        <w:rPr>
          <w:rFonts w:ascii="Cambria" w:hAnsi="Cambria"/>
          <w:i w:val="0"/>
          <w:iCs w:val="0"/>
          <w:sz w:val="22"/>
          <w:szCs w:val="22"/>
        </w:rPr>
      </w:pPr>
      <w:r w:rsidRPr="009122F6">
        <w:rPr>
          <w:rFonts w:ascii="Cambria" w:hAnsi="Cambria"/>
          <w:b/>
          <w:bCs/>
          <w:i w:val="0"/>
          <w:sz w:val="22"/>
          <w:szCs w:val="22"/>
        </w:rPr>
        <w:t xml:space="preserve">Table </w:t>
      </w:r>
      <w:r w:rsidRPr="009122F6">
        <w:rPr>
          <w:rFonts w:ascii="Cambria" w:hAnsi="Cambria"/>
          <w:b/>
          <w:bCs/>
          <w:i w:val="0"/>
          <w:iCs w:val="0"/>
          <w:sz w:val="22"/>
          <w:szCs w:val="22"/>
        </w:rPr>
        <w:fldChar w:fldCharType="begin"/>
      </w:r>
      <w:r w:rsidRPr="009122F6">
        <w:rPr>
          <w:rFonts w:ascii="Cambria" w:hAnsi="Cambria"/>
          <w:b/>
          <w:bCs/>
          <w:i w:val="0"/>
          <w:sz w:val="22"/>
          <w:szCs w:val="22"/>
        </w:rPr>
        <w:instrText xml:space="preserve"> SEQ Tabel \* ARABIC </w:instrText>
      </w:r>
      <w:r w:rsidRPr="009122F6">
        <w:rPr>
          <w:rFonts w:ascii="Cambria" w:hAnsi="Cambria"/>
          <w:b/>
          <w:bCs/>
          <w:i w:val="0"/>
          <w:iCs w:val="0"/>
          <w:sz w:val="22"/>
          <w:szCs w:val="22"/>
        </w:rPr>
        <w:fldChar w:fldCharType="separate"/>
      </w:r>
      <w:r w:rsidRPr="009122F6">
        <w:rPr>
          <w:rFonts w:ascii="Cambria" w:hAnsi="Cambria"/>
          <w:b/>
          <w:bCs/>
          <w:i w:val="0"/>
          <w:noProof/>
          <w:sz w:val="22"/>
          <w:szCs w:val="22"/>
        </w:rPr>
        <w:t>7</w:t>
      </w:r>
      <w:r w:rsidRPr="009122F6">
        <w:rPr>
          <w:rFonts w:ascii="Cambria" w:hAnsi="Cambria"/>
          <w:b/>
          <w:bCs/>
          <w:i w:val="0"/>
          <w:iCs w:val="0"/>
          <w:sz w:val="22"/>
          <w:szCs w:val="22"/>
        </w:rPr>
        <w:fldChar w:fldCharType="end"/>
      </w:r>
      <w:r w:rsidR="009122F6">
        <w:rPr>
          <w:rFonts w:ascii="Cambria" w:hAnsi="Cambria"/>
          <w:b/>
          <w:bCs/>
          <w:i w:val="0"/>
          <w:iCs w:val="0"/>
          <w:sz w:val="22"/>
          <w:szCs w:val="22"/>
        </w:rPr>
        <w:t>.</w:t>
      </w:r>
      <w:r w:rsidRPr="009122F6">
        <w:rPr>
          <w:rFonts w:ascii="Cambria" w:hAnsi="Cambria"/>
          <w:i w:val="0"/>
          <w:sz w:val="22"/>
          <w:szCs w:val="22"/>
        </w:rPr>
        <w:t xml:space="preserve"> Main Findings Classification</w:t>
      </w:r>
    </w:p>
    <w:tbl>
      <w:tblPr>
        <w:tblStyle w:val="Table"/>
        <w:tblW w:w="0" w:type="auto"/>
        <w:tblLook w:val="0020" w:firstRow="1" w:lastRow="0" w:firstColumn="0" w:lastColumn="0" w:noHBand="0" w:noVBand="0"/>
      </w:tblPr>
      <w:tblGrid>
        <w:gridCol w:w="3191"/>
        <w:gridCol w:w="1320"/>
        <w:gridCol w:w="1265"/>
        <w:gridCol w:w="3567"/>
      </w:tblGrid>
      <w:tr w:rsidR="0084110A" w:rsidRPr="009122F6" w14:paraId="580CEDF3" w14:textId="77777777" w:rsidTr="00236530">
        <w:trPr>
          <w:cnfStyle w:val="100000000000" w:firstRow="1" w:lastRow="0" w:firstColumn="0" w:lastColumn="0" w:oddVBand="0" w:evenVBand="0" w:oddHBand="0" w:evenHBand="0" w:firstRowFirstColumn="0" w:firstRowLastColumn="0" w:lastRowFirstColumn="0" w:lastRowLastColumn="0"/>
          <w:tblHeader/>
        </w:trPr>
        <w:tc>
          <w:tcPr>
            <w:tcW w:w="0" w:type="auto"/>
          </w:tcPr>
          <w:p w14:paraId="3972EB45"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Key Findings Categories</w:t>
            </w:r>
          </w:p>
        </w:tc>
        <w:tc>
          <w:tcPr>
            <w:tcW w:w="0" w:type="auto"/>
          </w:tcPr>
          <w:p w14:paraId="08B88B0A"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Number of Papers</w:t>
            </w:r>
          </w:p>
        </w:tc>
        <w:tc>
          <w:tcPr>
            <w:tcW w:w="0" w:type="auto"/>
          </w:tcPr>
          <w:p w14:paraId="2ABAB15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Percentage</w:t>
            </w:r>
          </w:p>
        </w:tc>
        <w:tc>
          <w:tcPr>
            <w:tcW w:w="0" w:type="auto"/>
          </w:tcPr>
          <w:p w14:paraId="5732EF23"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Specific Examples</w:t>
            </w:r>
          </w:p>
        </w:tc>
      </w:tr>
      <w:tr w:rsidR="0084110A" w:rsidRPr="009122F6" w14:paraId="170D24C5" w14:textId="77777777" w:rsidTr="00236530">
        <w:tc>
          <w:tcPr>
            <w:tcW w:w="0" w:type="auto"/>
          </w:tcPr>
          <w:p w14:paraId="03117420"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Automated System Accuracy Improvement</w:t>
            </w:r>
          </w:p>
        </w:tc>
        <w:tc>
          <w:tcPr>
            <w:tcW w:w="0" w:type="auto"/>
          </w:tcPr>
          <w:p w14:paraId="4FA091D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28</w:t>
            </w:r>
          </w:p>
        </w:tc>
        <w:tc>
          <w:tcPr>
            <w:tcW w:w="0" w:type="auto"/>
          </w:tcPr>
          <w:p w14:paraId="5E08CBD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40%</w:t>
            </w:r>
          </w:p>
        </w:tc>
        <w:tc>
          <w:tcPr>
            <w:tcW w:w="0" w:type="auto"/>
          </w:tcPr>
          <w:p w14:paraId="1281C271"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CNN achieved 98.62% accuracy in osteoarthritis classification (Paper 20)</w:t>
            </w:r>
          </w:p>
        </w:tc>
      </w:tr>
      <w:tr w:rsidR="0084110A" w:rsidRPr="009122F6" w14:paraId="0A6E8B75" w14:textId="77777777" w:rsidTr="00236530">
        <w:tc>
          <w:tcPr>
            <w:tcW w:w="0" w:type="auto"/>
          </w:tcPr>
          <w:p w14:paraId="6E486A7D"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Time/Process Efficiency</w:t>
            </w:r>
          </w:p>
        </w:tc>
        <w:tc>
          <w:tcPr>
            <w:tcW w:w="0" w:type="auto"/>
          </w:tcPr>
          <w:p w14:paraId="6B2A1DD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18</w:t>
            </w:r>
          </w:p>
        </w:tc>
        <w:tc>
          <w:tcPr>
            <w:tcW w:w="0" w:type="auto"/>
          </w:tcPr>
          <w:p w14:paraId="49C7B89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25.7%</w:t>
            </w:r>
          </w:p>
        </w:tc>
        <w:tc>
          <w:tcPr>
            <w:tcW w:w="0" w:type="auto"/>
          </w:tcPr>
          <w:p w14:paraId="0E025473"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AI reduces MRI reading time to 2.83 minutes (Paper 10)</w:t>
            </w:r>
          </w:p>
        </w:tc>
      </w:tr>
      <w:tr w:rsidR="0084110A" w:rsidRPr="009122F6" w14:paraId="5277AED5" w14:textId="77777777" w:rsidTr="00236530">
        <w:tc>
          <w:tcPr>
            <w:tcW w:w="0" w:type="auto"/>
          </w:tcPr>
          <w:p w14:paraId="4DE8CC83"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lastRenderedPageBreak/>
              <w:t>Clinical Validation of New Tools</w:t>
            </w:r>
          </w:p>
        </w:tc>
        <w:tc>
          <w:tcPr>
            <w:tcW w:w="0" w:type="auto"/>
          </w:tcPr>
          <w:p w14:paraId="76FAA29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15</w:t>
            </w:r>
          </w:p>
        </w:tc>
        <w:tc>
          <w:tcPr>
            <w:tcW w:w="0" w:type="auto"/>
          </w:tcPr>
          <w:p w14:paraId="083C755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21.4%</w:t>
            </w:r>
          </w:p>
        </w:tc>
        <w:tc>
          <w:tcPr>
            <w:tcW w:w="0" w:type="auto"/>
          </w:tcPr>
          <w:p w14:paraId="126F4A07" w14:textId="77777777" w:rsidR="0084110A" w:rsidRPr="009122F6" w:rsidRDefault="0084110A" w:rsidP="00236530">
            <w:pPr>
              <w:pStyle w:val="Compact"/>
              <w:rPr>
                <w:rFonts w:ascii="Cambria" w:hAnsi="Cambria"/>
                <w:sz w:val="22"/>
                <w:szCs w:val="22"/>
              </w:rPr>
            </w:pPr>
            <w:proofErr w:type="spellStart"/>
            <w:r w:rsidRPr="009122F6">
              <w:rPr>
                <w:rFonts w:ascii="Cambria" w:hAnsi="Cambria"/>
                <w:sz w:val="22"/>
                <w:szCs w:val="22"/>
              </w:rPr>
              <w:t>SpineNet</w:t>
            </w:r>
            <w:proofErr w:type="spellEnd"/>
            <w:r w:rsidRPr="009122F6">
              <w:rPr>
                <w:rFonts w:ascii="Cambria" w:hAnsi="Cambria"/>
                <w:sz w:val="22"/>
                <w:szCs w:val="22"/>
              </w:rPr>
              <w:t xml:space="preserve"> valid for LSS assessment (Paper 35)</w:t>
            </w:r>
          </w:p>
        </w:tc>
      </w:tr>
      <w:tr w:rsidR="0084110A" w:rsidRPr="009122F6" w14:paraId="51CD50A2" w14:textId="77777777" w:rsidTr="00236530">
        <w:tc>
          <w:tcPr>
            <w:tcW w:w="0" w:type="auto"/>
          </w:tcPr>
          <w:p w14:paraId="547AF55F"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Workload Reduction</w:t>
            </w:r>
          </w:p>
        </w:tc>
        <w:tc>
          <w:tcPr>
            <w:tcW w:w="0" w:type="auto"/>
          </w:tcPr>
          <w:p w14:paraId="0C242F1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12</w:t>
            </w:r>
          </w:p>
        </w:tc>
        <w:tc>
          <w:tcPr>
            <w:tcW w:w="0" w:type="auto"/>
          </w:tcPr>
          <w:p w14:paraId="632FE05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17.1%</w:t>
            </w:r>
          </w:p>
        </w:tc>
        <w:tc>
          <w:tcPr>
            <w:tcW w:w="0" w:type="auto"/>
          </w:tcPr>
          <w:p w14:paraId="3EBF73E1"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ML reduces assessment load by 64-74% (Paper 9)</w:t>
            </w:r>
          </w:p>
        </w:tc>
      </w:tr>
      <w:tr w:rsidR="0084110A" w:rsidRPr="009122F6" w14:paraId="33C9B1C1" w14:textId="77777777" w:rsidTr="00236530">
        <w:tc>
          <w:tcPr>
            <w:tcW w:w="0" w:type="auto"/>
          </w:tcPr>
          <w:p w14:paraId="4C9B4525"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Expert Equivalent Performance</w:t>
            </w:r>
          </w:p>
        </w:tc>
        <w:tc>
          <w:tcPr>
            <w:tcW w:w="0" w:type="auto"/>
          </w:tcPr>
          <w:p w14:paraId="7BB884AA"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10</w:t>
            </w:r>
          </w:p>
        </w:tc>
        <w:tc>
          <w:tcPr>
            <w:tcW w:w="0" w:type="auto"/>
          </w:tcPr>
          <w:p w14:paraId="70C660F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14.3%</w:t>
            </w:r>
          </w:p>
        </w:tc>
        <w:tc>
          <w:tcPr>
            <w:tcW w:w="0" w:type="auto"/>
          </w:tcPr>
          <w:p w14:paraId="0583FE91" w14:textId="77777777" w:rsidR="0084110A" w:rsidRPr="009122F6" w:rsidRDefault="0084110A" w:rsidP="00236530">
            <w:pPr>
              <w:pStyle w:val="Compact"/>
              <w:rPr>
                <w:rFonts w:ascii="Cambria" w:hAnsi="Cambria"/>
                <w:sz w:val="22"/>
                <w:szCs w:val="22"/>
              </w:rPr>
            </w:pPr>
            <w:proofErr w:type="spellStart"/>
            <w:r w:rsidRPr="009122F6">
              <w:rPr>
                <w:rFonts w:ascii="Cambria" w:hAnsi="Cambria"/>
                <w:sz w:val="22"/>
                <w:szCs w:val="22"/>
              </w:rPr>
              <w:t>CVSnet</w:t>
            </w:r>
            <w:proofErr w:type="spellEnd"/>
            <w:r w:rsidRPr="009122F6">
              <w:rPr>
                <w:rFonts w:ascii="Cambria" w:hAnsi="Cambria"/>
                <w:sz w:val="22"/>
                <w:szCs w:val="22"/>
              </w:rPr>
              <w:t xml:space="preserve"> is 600x faster with physician-equivalent accuracy (Paper 11)</w:t>
            </w:r>
          </w:p>
        </w:tc>
      </w:tr>
      <w:tr w:rsidR="0084110A" w:rsidRPr="009122F6" w14:paraId="3C1E041B" w14:textId="77777777" w:rsidTr="00236530">
        <w:tc>
          <w:tcPr>
            <w:tcW w:w="0" w:type="auto"/>
          </w:tcPr>
          <w:p w14:paraId="5BB511FA"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Identify New Patterns/Correlations</w:t>
            </w:r>
          </w:p>
        </w:tc>
        <w:tc>
          <w:tcPr>
            <w:tcW w:w="0" w:type="auto"/>
          </w:tcPr>
          <w:p w14:paraId="4C7F8DF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8</w:t>
            </w:r>
          </w:p>
        </w:tc>
        <w:tc>
          <w:tcPr>
            <w:tcW w:w="0" w:type="auto"/>
          </w:tcPr>
          <w:p w14:paraId="547731D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11.4%</w:t>
            </w:r>
          </w:p>
        </w:tc>
        <w:tc>
          <w:tcPr>
            <w:tcW w:w="0" w:type="auto"/>
          </w:tcPr>
          <w:p w14:paraId="7BC127BA"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Negative correlation of task complexity with ML performance (Paper 14)</w:t>
            </w:r>
          </w:p>
        </w:tc>
      </w:tr>
      <w:tr w:rsidR="0084110A" w:rsidRPr="009122F6" w14:paraId="0F5DC261" w14:textId="77777777" w:rsidTr="00236530">
        <w:tc>
          <w:tcPr>
            <w:tcW w:w="0" w:type="auto"/>
          </w:tcPr>
          <w:p w14:paraId="66904B42"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Cost Savings</w:t>
            </w:r>
          </w:p>
        </w:tc>
        <w:tc>
          <w:tcPr>
            <w:tcW w:w="0" w:type="auto"/>
          </w:tcPr>
          <w:p w14:paraId="48A41FC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w:t>
            </w:r>
          </w:p>
        </w:tc>
        <w:tc>
          <w:tcPr>
            <w:tcW w:w="0" w:type="auto"/>
          </w:tcPr>
          <w:p w14:paraId="5B651333"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7.1%</w:t>
            </w:r>
          </w:p>
        </w:tc>
        <w:tc>
          <w:tcPr>
            <w:tcW w:w="0" w:type="auto"/>
          </w:tcPr>
          <w:p w14:paraId="4F9E84E9" w14:textId="77777777" w:rsidR="0084110A" w:rsidRPr="009122F6" w:rsidRDefault="0084110A" w:rsidP="00236530">
            <w:pPr>
              <w:pStyle w:val="Compact"/>
              <w:rPr>
                <w:rFonts w:ascii="Cambria" w:hAnsi="Cambria"/>
                <w:sz w:val="22"/>
                <w:szCs w:val="22"/>
              </w:rPr>
            </w:pPr>
            <w:proofErr w:type="spellStart"/>
            <w:r w:rsidRPr="009122F6">
              <w:rPr>
                <w:rFonts w:ascii="Cambria" w:hAnsi="Cambria"/>
                <w:sz w:val="22"/>
                <w:szCs w:val="22"/>
              </w:rPr>
              <w:t>EyeArt</w:t>
            </w:r>
            <w:proofErr w:type="spellEnd"/>
            <w:r w:rsidRPr="009122F6">
              <w:rPr>
                <w:rFonts w:ascii="Cambria" w:hAnsi="Cambria"/>
                <w:sz w:val="22"/>
                <w:szCs w:val="22"/>
              </w:rPr>
              <w:t>® is $143 cheaper per patient (Paper 37)</w:t>
            </w:r>
          </w:p>
        </w:tc>
      </w:tr>
      <w:tr w:rsidR="0084110A" w:rsidRPr="009122F6" w14:paraId="1F9D4F87" w14:textId="77777777" w:rsidTr="00236530">
        <w:tc>
          <w:tcPr>
            <w:tcW w:w="0" w:type="auto"/>
          </w:tcPr>
          <w:p w14:paraId="1AF6ADA6"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Improved Learning Outcomes</w:t>
            </w:r>
          </w:p>
        </w:tc>
        <w:tc>
          <w:tcPr>
            <w:tcW w:w="0" w:type="auto"/>
          </w:tcPr>
          <w:p w14:paraId="04708BC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w:t>
            </w:r>
          </w:p>
        </w:tc>
        <w:tc>
          <w:tcPr>
            <w:tcW w:w="0" w:type="auto"/>
          </w:tcPr>
          <w:p w14:paraId="6CB010C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7.1%</w:t>
            </w:r>
          </w:p>
        </w:tc>
        <w:tc>
          <w:tcPr>
            <w:tcW w:w="0" w:type="auto"/>
          </w:tcPr>
          <w:p w14:paraId="3980DCA4"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Students with AI feedback increased significantly (Paper 3)</w:t>
            </w:r>
          </w:p>
        </w:tc>
      </w:tr>
      <w:tr w:rsidR="0084110A" w:rsidRPr="009122F6" w14:paraId="3AF83B4E" w14:textId="77777777" w:rsidTr="00236530">
        <w:tc>
          <w:tcPr>
            <w:tcW w:w="0" w:type="auto"/>
          </w:tcPr>
          <w:p w14:paraId="7100C09C"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Early/Predictive Detection</w:t>
            </w:r>
          </w:p>
        </w:tc>
        <w:tc>
          <w:tcPr>
            <w:tcW w:w="0" w:type="auto"/>
          </w:tcPr>
          <w:p w14:paraId="44EA2751"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w:t>
            </w:r>
          </w:p>
        </w:tc>
        <w:tc>
          <w:tcPr>
            <w:tcW w:w="0" w:type="auto"/>
          </w:tcPr>
          <w:p w14:paraId="65F337F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5.7%</w:t>
            </w:r>
          </w:p>
        </w:tc>
        <w:tc>
          <w:tcPr>
            <w:tcW w:w="0" w:type="auto"/>
          </w:tcPr>
          <w:p w14:paraId="3EB82F3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Cardiovascular adequacy prediction model (Paper 68)</w:t>
            </w:r>
          </w:p>
        </w:tc>
      </w:tr>
    </w:tbl>
    <w:p w14:paraId="2B7C35B4" w14:textId="1E4B97CE" w:rsidR="0084110A" w:rsidRPr="009122F6" w:rsidRDefault="0084110A" w:rsidP="0084110A">
      <w:pPr>
        <w:pStyle w:val="BodyText"/>
        <w:jc w:val="both"/>
        <w:rPr>
          <w:rFonts w:ascii="Cambria" w:hAnsi="Cambria" w:cs="Tahoma"/>
          <w:sz w:val="22"/>
          <w:szCs w:val="22"/>
        </w:rPr>
      </w:pPr>
      <w:r w:rsidRPr="009122F6">
        <w:rPr>
          <w:rFonts w:ascii="Cambria" w:hAnsi="Cambria" w:cs="Tahoma"/>
          <w:b/>
          <w:bCs/>
          <w:sz w:val="22"/>
          <w:szCs w:val="22"/>
        </w:rPr>
        <w:t xml:space="preserve">In table </w:t>
      </w:r>
      <w:proofErr w:type="gramStart"/>
      <w:r w:rsidRPr="009122F6">
        <w:rPr>
          <w:rFonts w:ascii="Cambria" w:hAnsi="Cambria" w:cs="Tahoma"/>
          <w:b/>
          <w:bCs/>
          <w:sz w:val="22"/>
          <w:szCs w:val="22"/>
        </w:rPr>
        <w:t>7  of</w:t>
      </w:r>
      <w:proofErr w:type="gramEnd"/>
      <w:r w:rsidRPr="009122F6">
        <w:rPr>
          <w:rFonts w:ascii="Cambria" w:hAnsi="Cambria" w:cs="Tahoma"/>
          <w:b/>
          <w:bCs/>
          <w:sz w:val="22"/>
          <w:szCs w:val="22"/>
        </w:rPr>
        <w:t xml:space="preserve"> the </w:t>
      </w:r>
      <w:r w:rsidRPr="009122F6">
        <w:rPr>
          <w:rFonts w:ascii="Cambria" w:hAnsi="Cambria" w:cs="Tahoma"/>
          <w:sz w:val="22"/>
          <w:szCs w:val="22"/>
        </w:rPr>
        <w:t>classification of mind findings, it is explained that the majority of studies (40%) show that AI/ML-based automated systems are able to improve the accuracy of assessments, often surpassing manual methods, especially in the classification of medical images and learning evaluation. In addition, efficiency was the main value raised, with a focus on reducing processing time (25.7%), workload (17.1%), and cost (7.1%). Clinical validation was also significant (21.4%), where many new tools were tested for conformity with medical standards. Some studies even uncover new patterns or correlations that are not detected manually and show a positive impact on educational outcomes and skills. Looking ahead, it is suggested that research focus more on integrating systems into real clinical practice, cost-benefit analysis of implementation, and longitudinal studies of impacts. Areas that are still underexplored include ethical issues, impact on the profession, and adaptation of cross-cultural and linguistic systems. The following is the classification of design studies based on the study design category, the number of papers, and the percentage:</w:t>
      </w:r>
    </w:p>
    <w:p w14:paraId="57250E4F" w14:textId="77777777" w:rsidR="0084110A" w:rsidRPr="009122F6" w:rsidRDefault="0084110A" w:rsidP="0084110A">
      <w:pPr>
        <w:pStyle w:val="Caption"/>
        <w:keepNext/>
        <w:jc w:val="center"/>
        <w:rPr>
          <w:rFonts w:ascii="Cambria" w:hAnsi="Cambria"/>
          <w:i w:val="0"/>
          <w:iCs w:val="0"/>
          <w:sz w:val="22"/>
          <w:szCs w:val="22"/>
        </w:rPr>
      </w:pPr>
      <w:r w:rsidRPr="009122F6">
        <w:rPr>
          <w:rFonts w:ascii="Cambria" w:hAnsi="Cambria"/>
          <w:b/>
          <w:bCs/>
          <w:i w:val="0"/>
          <w:sz w:val="22"/>
          <w:szCs w:val="22"/>
        </w:rPr>
        <w:t xml:space="preserve">Table </w:t>
      </w:r>
      <w:r w:rsidRPr="009122F6">
        <w:rPr>
          <w:rFonts w:ascii="Cambria" w:hAnsi="Cambria"/>
          <w:b/>
          <w:bCs/>
          <w:i w:val="0"/>
          <w:iCs w:val="0"/>
          <w:sz w:val="22"/>
          <w:szCs w:val="22"/>
        </w:rPr>
        <w:fldChar w:fldCharType="begin"/>
      </w:r>
      <w:r w:rsidRPr="009122F6">
        <w:rPr>
          <w:rFonts w:ascii="Cambria" w:hAnsi="Cambria"/>
          <w:b/>
          <w:bCs/>
          <w:i w:val="0"/>
          <w:sz w:val="22"/>
          <w:szCs w:val="22"/>
        </w:rPr>
        <w:instrText xml:space="preserve"> SEQ Tabel \* ARABIC </w:instrText>
      </w:r>
      <w:r w:rsidRPr="009122F6">
        <w:rPr>
          <w:rFonts w:ascii="Cambria" w:hAnsi="Cambria"/>
          <w:b/>
          <w:bCs/>
          <w:i w:val="0"/>
          <w:iCs w:val="0"/>
          <w:sz w:val="22"/>
          <w:szCs w:val="22"/>
        </w:rPr>
        <w:fldChar w:fldCharType="separate"/>
      </w:r>
      <w:r w:rsidRPr="009122F6">
        <w:rPr>
          <w:rFonts w:ascii="Cambria" w:hAnsi="Cambria"/>
          <w:b/>
          <w:bCs/>
          <w:i w:val="0"/>
          <w:noProof/>
          <w:sz w:val="22"/>
          <w:szCs w:val="22"/>
        </w:rPr>
        <w:t>8</w:t>
      </w:r>
      <w:r w:rsidRPr="009122F6">
        <w:rPr>
          <w:rFonts w:ascii="Cambria" w:hAnsi="Cambria"/>
          <w:b/>
          <w:bCs/>
          <w:i w:val="0"/>
          <w:iCs w:val="0"/>
          <w:sz w:val="22"/>
          <w:szCs w:val="22"/>
        </w:rPr>
        <w:fldChar w:fldCharType="end"/>
      </w:r>
      <w:r w:rsidRPr="009122F6">
        <w:rPr>
          <w:rFonts w:ascii="Cambria" w:hAnsi="Cambria"/>
          <w:i w:val="0"/>
          <w:sz w:val="22"/>
          <w:szCs w:val="22"/>
        </w:rPr>
        <w:t xml:space="preserve"> Classification Study design</w:t>
      </w:r>
    </w:p>
    <w:tbl>
      <w:tblPr>
        <w:tblStyle w:val="Table"/>
        <w:tblW w:w="0" w:type="auto"/>
        <w:tblLook w:val="0020" w:firstRow="1" w:lastRow="0" w:firstColumn="0" w:lastColumn="0" w:noHBand="0" w:noVBand="0"/>
      </w:tblPr>
      <w:tblGrid>
        <w:gridCol w:w="1985"/>
        <w:gridCol w:w="1302"/>
        <w:gridCol w:w="1265"/>
        <w:gridCol w:w="4791"/>
      </w:tblGrid>
      <w:tr w:rsidR="0084110A" w:rsidRPr="009122F6" w14:paraId="29165E05" w14:textId="77777777" w:rsidTr="00236530">
        <w:trPr>
          <w:cnfStyle w:val="100000000000" w:firstRow="1" w:lastRow="0" w:firstColumn="0" w:lastColumn="0" w:oddVBand="0" w:evenVBand="0" w:oddHBand="0" w:evenHBand="0" w:firstRowFirstColumn="0" w:firstRowLastColumn="0" w:lastRowFirstColumn="0" w:lastRowLastColumn="0"/>
          <w:tblHeader/>
        </w:trPr>
        <w:tc>
          <w:tcPr>
            <w:tcW w:w="0" w:type="auto"/>
          </w:tcPr>
          <w:p w14:paraId="43A2D753"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Categories Study Design</w:t>
            </w:r>
          </w:p>
        </w:tc>
        <w:tc>
          <w:tcPr>
            <w:tcW w:w="0" w:type="auto"/>
          </w:tcPr>
          <w:p w14:paraId="592B50D6"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Number of Papers</w:t>
            </w:r>
          </w:p>
        </w:tc>
        <w:tc>
          <w:tcPr>
            <w:tcW w:w="0" w:type="auto"/>
          </w:tcPr>
          <w:p w14:paraId="6DC8F8B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Percentage</w:t>
            </w:r>
          </w:p>
        </w:tc>
        <w:tc>
          <w:tcPr>
            <w:tcW w:w="0" w:type="auto"/>
          </w:tcPr>
          <w:p w14:paraId="51FB19B7"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Characteristics &amp; Examples</w:t>
            </w:r>
          </w:p>
        </w:tc>
      </w:tr>
      <w:tr w:rsidR="0084110A" w:rsidRPr="009122F6" w14:paraId="643C208C" w14:textId="77777777" w:rsidTr="00236530">
        <w:tc>
          <w:tcPr>
            <w:tcW w:w="0" w:type="auto"/>
          </w:tcPr>
          <w:p w14:paraId="5A21A5CE"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Observational Studies</w:t>
            </w:r>
          </w:p>
        </w:tc>
        <w:tc>
          <w:tcPr>
            <w:tcW w:w="0" w:type="auto"/>
          </w:tcPr>
          <w:p w14:paraId="57E2AE52"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32</w:t>
            </w:r>
          </w:p>
        </w:tc>
        <w:tc>
          <w:tcPr>
            <w:tcW w:w="0" w:type="auto"/>
          </w:tcPr>
          <w:p w14:paraId="2E465B81"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45.7%</w:t>
            </w:r>
          </w:p>
        </w:tc>
        <w:tc>
          <w:tcPr>
            <w:tcW w:w="0" w:type="auto"/>
          </w:tcPr>
          <w:p w14:paraId="5C3123ED"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Non-interventional data analysis- Examples: MRI retrospective assessment, clinical dataset analysis</w:t>
            </w:r>
          </w:p>
        </w:tc>
      </w:tr>
      <w:tr w:rsidR="0084110A" w:rsidRPr="009122F6" w14:paraId="4968F990" w14:textId="77777777" w:rsidTr="00236530">
        <w:tc>
          <w:tcPr>
            <w:tcW w:w="0" w:type="auto"/>
          </w:tcPr>
          <w:p w14:paraId="71B998D0"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Experimental Studies</w:t>
            </w:r>
          </w:p>
        </w:tc>
        <w:tc>
          <w:tcPr>
            <w:tcW w:w="0" w:type="auto"/>
          </w:tcPr>
          <w:p w14:paraId="78284A5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18</w:t>
            </w:r>
          </w:p>
        </w:tc>
        <w:tc>
          <w:tcPr>
            <w:tcW w:w="0" w:type="auto"/>
          </w:tcPr>
          <w:p w14:paraId="3CB9B3B8"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25.7%</w:t>
            </w:r>
          </w:p>
        </w:tc>
        <w:tc>
          <w:tcPr>
            <w:tcW w:w="0" w:type="auto"/>
          </w:tcPr>
          <w:p w14:paraId="3B305CE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Controlled design with intervention- Example: AI model trials, laboratory experiments</w:t>
            </w:r>
          </w:p>
        </w:tc>
      </w:tr>
      <w:tr w:rsidR="0084110A" w:rsidRPr="009122F6" w14:paraId="36D63541" w14:textId="77777777" w:rsidTr="00236530">
        <w:tc>
          <w:tcPr>
            <w:tcW w:w="0" w:type="auto"/>
          </w:tcPr>
          <w:p w14:paraId="5B3AD583"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Computational Studies</w:t>
            </w:r>
          </w:p>
        </w:tc>
        <w:tc>
          <w:tcPr>
            <w:tcW w:w="0" w:type="auto"/>
          </w:tcPr>
          <w:p w14:paraId="7B1DF860"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12</w:t>
            </w:r>
          </w:p>
        </w:tc>
        <w:tc>
          <w:tcPr>
            <w:tcW w:w="0" w:type="auto"/>
          </w:tcPr>
          <w:p w14:paraId="47CE6965"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17.1%</w:t>
            </w:r>
          </w:p>
        </w:tc>
        <w:tc>
          <w:tcPr>
            <w:tcW w:w="0" w:type="auto"/>
          </w:tcPr>
          <w:p w14:paraId="54AE1E8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Focus on algorithm/model development- Example: CNN training, ML architecture optimization</w:t>
            </w:r>
          </w:p>
        </w:tc>
      </w:tr>
      <w:tr w:rsidR="0084110A" w:rsidRPr="009122F6" w14:paraId="7C7CC87F" w14:textId="77777777" w:rsidTr="00236530">
        <w:tc>
          <w:tcPr>
            <w:tcW w:w="0" w:type="auto"/>
          </w:tcPr>
          <w:p w14:paraId="52C5BD0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Systematic Review</w:t>
            </w:r>
          </w:p>
        </w:tc>
        <w:tc>
          <w:tcPr>
            <w:tcW w:w="0" w:type="auto"/>
          </w:tcPr>
          <w:p w14:paraId="06F19B26"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6</w:t>
            </w:r>
          </w:p>
        </w:tc>
        <w:tc>
          <w:tcPr>
            <w:tcW w:w="0" w:type="auto"/>
          </w:tcPr>
          <w:p w14:paraId="7DD9BFF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8.6%</w:t>
            </w:r>
          </w:p>
        </w:tc>
        <w:tc>
          <w:tcPr>
            <w:tcW w:w="0" w:type="auto"/>
          </w:tcPr>
          <w:p w14:paraId="25A66BA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Synthesis of structured literature- Example: Review of the application of AI in education</w:t>
            </w:r>
          </w:p>
        </w:tc>
      </w:tr>
      <w:tr w:rsidR="0084110A" w:rsidRPr="009122F6" w14:paraId="5C60B589" w14:textId="77777777" w:rsidTr="00236530">
        <w:tc>
          <w:tcPr>
            <w:tcW w:w="0" w:type="auto"/>
          </w:tcPr>
          <w:p w14:paraId="5A24A061"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Qualitative Studies</w:t>
            </w:r>
          </w:p>
        </w:tc>
        <w:tc>
          <w:tcPr>
            <w:tcW w:w="0" w:type="auto"/>
          </w:tcPr>
          <w:p w14:paraId="4A2986F9"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w:t>
            </w:r>
          </w:p>
        </w:tc>
        <w:tc>
          <w:tcPr>
            <w:tcW w:w="0" w:type="auto"/>
          </w:tcPr>
          <w:p w14:paraId="362BE13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7.1%</w:t>
            </w:r>
          </w:p>
        </w:tc>
        <w:tc>
          <w:tcPr>
            <w:tcW w:w="0" w:type="auto"/>
          </w:tcPr>
          <w:p w14:paraId="4C6BBDE4"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Interviews, content analysis- Example: Study of user perception of technology</w:t>
            </w:r>
          </w:p>
        </w:tc>
      </w:tr>
      <w:tr w:rsidR="0084110A" w:rsidRPr="009122F6" w14:paraId="0991C17E" w14:textId="77777777" w:rsidTr="00236530">
        <w:tc>
          <w:tcPr>
            <w:tcW w:w="0" w:type="auto"/>
          </w:tcPr>
          <w:p w14:paraId="05211D38"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Case Studies</w:t>
            </w:r>
          </w:p>
        </w:tc>
        <w:tc>
          <w:tcPr>
            <w:tcW w:w="0" w:type="auto"/>
          </w:tcPr>
          <w:p w14:paraId="626A95A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w:t>
            </w:r>
          </w:p>
        </w:tc>
        <w:tc>
          <w:tcPr>
            <w:tcW w:w="0" w:type="auto"/>
          </w:tcPr>
          <w:p w14:paraId="2DFC1D3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5.7%</w:t>
            </w:r>
          </w:p>
        </w:tc>
        <w:tc>
          <w:tcPr>
            <w:tcW w:w="0" w:type="auto"/>
          </w:tcPr>
          <w:p w14:paraId="3BFA3A0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In-depth analysis of a case/specific- Example: System implementation in one institution</w:t>
            </w:r>
          </w:p>
        </w:tc>
      </w:tr>
      <w:tr w:rsidR="0084110A" w:rsidRPr="009122F6" w14:paraId="73BB589E" w14:textId="77777777" w:rsidTr="00236530">
        <w:tc>
          <w:tcPr>
            <w:tcW w:w="0" w:type="auto"/>
          </w:tcPr>
          <w:p w14:paraId="37B8BE2A"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Conceptual Studies</w:t>
            </w:r>
          </w:p>
        </w:tc>
        <w:tc>
          <w:tcPr>
            <w:tcW w:w="0" w:type="auto"/>
          </w:tcPr>
          <w:p w14:paraId="45641E5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w:t>
            </w:r>
          </w:p>
        </w:tc>
        <w:tc>
          <w:tcPr>
            <w:tcW w:w="0" w:type="auto"/>
          </w:tcPr>
          <w:p w14:paraId="2CED85B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4.3%</w:t>
            </w:r>
          </w:p>
        </w:tc>
        <w:tc>
          <w:tcPr>
            <w:tcW w:w="0" w:type="auto"/>
          </w:tcPr>
          <w:p w14:paraId="2F308717"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Development of theories/frameworks- Example: New system architecture proposals</w:t>
            </w:r>
          </w:p>
        </w:tc>
      </w:tr>
    </w:tbl>
    <w:p w14:paraId="75438860" w14:textId="77777777" w:rsidR="0084110A" w:rsidRPr="009122F6" w:rsidRDefault="0084110A" w:rsidP="0084110A">
      <w:pPr>
        <w:pStyle w:val="BodyText"/>
        <w:jc w:val="both"/>
        <w:rPr>
          <w:rFonts w:ascii="Cambria" w:hAnsi="Cambria" w:cs="Tahoma"/>
          <w:sz w:val="22"/>
          <w:szCs w:val="22"/>
        </w:rPr>
      </w:pPr>
      <w:r w:rsidRPr="009122F6">
        <w:rPr>
          <w:rFonts w:ascii="Cambria" w:hAnsi="Cambria" w:cs="Tahoma"/>
          <w:b/>
          <w:bCs/>
          <w:sz w:val="22"/>
          <w:szCs w:val="22"/>
        </w:rPr>
        <w:lastRenderedPageBreak/>
        <w:t xml:space="preserve">In table </w:t>
      </w:r>
      <w:proofErr w:type="gramStart"/>
      <w:r w:rsidRPr="009122F6">
        <w:rPr>
          <w:rFonts w:ascii="Cambria" w:hAnsi="Cambria" w:cs="Tahoma"/>
          <w:b/>
          <w:bCs/>
          <w:sz w:val="22"/>
          <w:szCs w:val="22"/>
        </w:rPr>
        <w:t>8  of</w:t>
      </w:r>
      <w:proofErr w:type="gramEnd"/>
      <w:r w:rsidRPr="009122F6">
        <w:rPr>
          <w:rFonts w:ascii="Cambria" w:hAnsi="Cambria" w:cs="Tahoma"/>
          <w:b/>
          <w:bCs/>
          <w:sz w:val="22"/>
          <w:szCs w:val="22"/>
        </w:rPr>
        <w:t xml:space="preserve"> the </w:t>
      </w:r>
      <w:r w:rsidRPr="009122F6">
        <w:rPr>
          <w:rFonts w:ascii="Cambria" w:hAnsi="Cambria" w:cs="Tahoma"/>
          <w:sz w:val="22"/>
          <w:szCs w:val="22"/>
        </w:rPr>
        <w:t>study design classification, the study design analysis shows the dominance of observational studies (45.7%) which are generally in the form of retrospective analysis of medical data or existing datasets, such as MRI automatic assessment or student performance evaluation. Experimental studies (25.7%) were used to test the effectiveness of new models or technologies in a controlled environment, while computational studies (17.1%) focused on algorithm development and machine learning architecture optimization. Non-empirical studies are also present in the form of systematic reviews (8.6%) to synthesize existing literature, as well as conceptual studies (4.3%) that propose new theories or frameworks. In the future, research is suggested to increase longitudinal studies to assess long-term impacts, comparative studies between methods, and real implementation in the field. In addition, there is a need to strengthen the use of mixed study designs, replication studies to ensure the validity of findings, and the use of larger, more diverse samples. The following is the classification of future research based on the recommendation category, the number of papers and the percentage:</w:t>
      </w:r>
    </w:p>
    <w:p w14:paraId="3AD3C921" w14:textId="550B8F2E" w:rsidR="0084110A" w:rsidRPr="009122F6" w:rsidRDefault="0084110A" w:rsidP="0084110A">
      <w:pPr>
        <w:pStyle w:val="Caption"/>
        <w:keepNext/>
        <w:jc w:val="center"/>
        <w:rPr>
          <w:rFonts w:ascii="Cambria" w:hAnsi="Cambria"/>
          <w:i w:val="0"/>
          <w:iCs w:val="0"/>
          <w:sz w:val="22"/>
          <w:szCs w:val="22"/>
        </w:rPr>
      </w:pPr>
      <w:r w:rsidRPr="009122F6">
        <w:rPr>
          <w:rFonts w:ascii="Cambria" w:hAnsi="Cambria"/>
          <w:b/>
          <w:bCs/>
          <w:i w:val="0"/>
          <w:sz w:val="22"/>
          <w:szCs w:val="22"/>
        </w:rPr>
        <w:t xml:space="preserve">Table </w:t>
      </w:r>
      <w:r w:rsidRPr="009122F6">
        <w:rPr>
          <w:rFonts w:ascii="Cambria" w:hAnsi="Cambria"/>
          <w:b/>
          <w:bCs/>
          <w:i w:val="0"/>
          <w:iCs w:val="0"/>
          <w:sz w:val="22"/>
          <w:szCs w:val="22"/>
        </w:rPr>
        <w:fldChar w:fldCharType="begin"/>
      </w:r>
      <w:r w:rsidRPr="009122F6">
        <w:rPr>
          <w:rFonts w:ascii="Cambria" w:hAnsi="Cambria"/>
          <w:b/>
          <w:bCs/>
          <w:i w:val="0"/>
          <w:sz w:val="22"/>
          <w:szCs w:val="22"/>
        </w:rPr>
        <w:instrText xml:space="preserve"> SEQ Tabel \* ARABIC </w:instrText>
      </w:r>
      <w:r w:rsidRPr="009122F6">
        <w:rPr>
          <w:rFonts w:ascii="Cambria" w:hAnsi="Cambria"/>
          <w:b/>
          <w:bCs/>
          <w:i w:val="0"/>
          <w:iCs w:val="0"/>
          <w:sz w:val="22"/>
          <w:szCs w:val="22"/>
        </w:rPr>
        <w:fldChar w:fldCharType="separate"/>
      </w:r>
      <w:r w:rsidRPr="009122F6">
        <w:rPr>
          <w:rFonts w:ascii="Cambria" w:hAnsi="Cambria"/>
          <w:b/>
          <w:bCs/>
          <w:i w:val="0"/>
          <w:noProof/>
          <w:sz w:val="22"/>
          <w:szCs w:val="22"/>
        </w:rPr>
        <w:t>9</w:t>
      </w:r>
      <w:r w:rsidRPr="009122F6">
        <w:rPr>
          <w:rFonts w:ascii="Cambria" w:hAnsi="Cambria"/>
          <w:b/>
          <w:bCs/>
          <w:i w:val="0"/>
          <w:iCs w:val="0"/>
          <w:sz w:val="22"/>
          <w:szCs w:val="22"/>
        </w:rPr>
        <w:fldChar w:fldCharType="end"/>
      </w:r>
      <w:r w:rsidR="009122F6">
        <w:rPr>
          <w:rFonts w:ascii="Cambria" w:hAnsi="Cambria"/>
          <w:b/>
          <w:bCs/>
          <w:i w:val="0"/>
          <w:iCs w:val="0"/>
          <w:sz w:val="22"/>
          <w:szCs w:val="22"/>
        </w:rPr>
        <w:t>.</w:t>
      </w:r>
      <w:r w:rsidRPr="009122F6">
        <w:rPr>
          <w:rFonts w:ascii="Cambria" w:hAnsi="Cambria"/>
          <w:i w:val="0"/>
          <w:sz w:val="22"/>
          <w:szCs w:val="22"/>
        </w:rPr>
        <w:t xml:space="preserve"> Future research classification</w:t>
      </w:r>
    </w:p>
    <w:tbl>
      <w:tblPr>
        <w:tblStyle w:val="Table"/>
        <w:tblW w:w="0" w:type="auto"/>
        <w:tblLook w:val="0020" w:firstRow="1" w:lastRow="0" w:firstColumn="0" w:lastColumn="0" w:noHBand="0" w:noVBand="0"/>
      </w:tblPr>
      <w:tblGrid>
        <w:gridCol w:w="2441"/>
        <w:gridCol w:w="1284"/>
        <w:gridCol w:w="1265"/>
        <w:gridCol w:w="4353"/>
      </w:tblGrid>
      <w:tr w:rsidR="0084110A" w:rsidRPr="009122F6" w14:paraId="2467B253" w14:textId="77777777" w:rsidTr="00236530">
        <w:trPr>
          <w:cnfStyle w:val="100000000000" w:firstRow="1" w:lastRow="0" w:firstColumn="0" w:lastColumn="0" w:oddVBand="0" w:evenVBand="0" w:oddHBand="0" w:evenHBand="0" w:firstRowFirstColumn="0" w:firstRowLastColumn="0" w:lastRowFirstColumn="0" w:lastRowLastColumn="0"/>
          <w:tblHeader/>
        </w:trPr>
        <w:tc>
          <w:tcPr>
            <w:tcW w:w="0" w:type="auto"/>
          </w:tcPr>
          <w:p w14:paraId="69D7D35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Recommended Categories</w:t>
            </w:r>
          </w:p>
        </w:tc>
        <w:tc>
          <w:tcPr>
            <w:tcW w:w="0" w:type="auto"/>
          </w:tcPr>
          <w:p w14:paraId="17D4E24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Number of Papers</w:t>
            </w:r>
          </w:p>
        </w:tc>
        <w:tc>
          <w:tcPr>
            <w:tcW w:w="0" w:type="auto"/>
          </w:tcPr>
          <w:p w14:paraId="5CFA179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Percentage</w:t>
            </w:r>
          </w:p>
        </w:tc>
        <w:tc>
          <w:tcPr>
            <w:tcW w:w="0" w:type="auto"/>
          </w:tcPr>
          <w:p w14:paraId="016896A4"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Specific Examples</w:t>
            </w:r>
          </w:p>
        </w:tc>
      </w:tr>
      <w:tr w:rsidR="0084110A" w:rsidRPr="009122F6" w14:paraId="012FA081" w14:textId="77777777" w:rsidTr="00236530">
        <w:tc>
          <w:tcPr>
            <w:tcW w:w="0" w:type="auto"/>
          </w:tcPr>
          <w:p w14:paraId="3930DC1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Model/Algorithm Improvement</w:t>
            </w:r>
          </w:p>
        </w:tc>
        <w:tc>
          <w:tcPr>
            <w:tcW w:w="0" w:type="auto"/>
          </w:tcPr>
          <w:p w14:paraId="22783DB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38</w:t>
            </w:r>
          </w:p>
        </w:tc>
        <w:tc>
          <w:tcPr>
            <w:tcW w:w="0" w:type="auto"/>
          </w:tcPr>
          <w:p w14:paraId="79E3EE5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54.3%</w:t>
            </w:r>
          </w:p>
        </w:tc>
        <w:tc>
          <w:tcPr>
            <w:tcW w:w="0" w:type="auto"/>
          </w:tcPr>
          <w:p w14:paraId="383C6D0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Development of more accurate architectures (Paper 44)- Optimization of model parameters (Paper 52)</w:t>
            </w:r>
          </w:p>
        </w:tc>
      </w:tr>
      <w:tr w:rsidR="0084110A" w:rsidRPr="009122F6" w14:paraId="6E44DDA1" w14:textId="77777777" w:rsidTr="00236530">
        <w:tc>
          <w:tcPr>
            <w:tcW w:w="0" w:type="auto"/>
          </w:tcPr>
          <w:p w14:paraId="1B2D2B1D"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Clinical/Field Validation</w:t>
            </w:r>
          </w:p>
        </w:tc>
        <w:tc>
          <w:tcPr>
            <w:tcW w:w="0" w:type="auto"/>
          </w:tcPr>
          <w:p w14:paraId="2EDBBE7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29</w:t>
            </w:r>
          </w:p>
        </w:tc>
        <w:tc>
          <w:tcPr>
            <w:tcW w:w="0" w:type="auto"/>
          </w:tcPr>
          <w:p w14:paraId="3F27CDA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41.4%</w:t>
            </w:r>
          </w:p>
        </w:tc>
        <w:tc>
          <w:tcPr>
            <w:tcW w:w="0" w:type="auto"/>
          </w:tcPr>
          <w:p w14:paraId="7508D0F3"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Multicenter trial (Paper 10)- Longitudinal study (Paper 35)</w:t>
            </w:r>
          </w:p>
        </w:tc>
      </w:tr>
      <w:tr w:rsidR="0084110A" w:rsidRPr="009122F6" w14:paraId="44878CE9" w14:textId="77777777" w:rsidTr="00236530">
        <w:tc>
          <w:tcPr>
            <w:tcW w:w="0" w:type="auto"/>
          </w:tcPr>
          <w:p w14:paraId="62F7644B"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Dataset Expansion</w:t>
            </w:r>
          </w:p>
        </w:tc>
        <w:tc>
          <w:tcPr>
            <w:tcW w:w="0" w:type="auto"/>
          </w:tcPr>
          <w:p w14:paraId="47CF865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25</w:t>
            </w:r>
          </w:p>
        </w:tc>
        <w:tc>
          <w:tcPr>
            <w:tcW w:w="0" w:type="auto"/>
          </w:tcPr>
          <w:p w14:paraId="7F624D96"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35.7%</w:t>
            </w:r>
          </w:p>
        </w:tc>
        <w:tc>
          <w:tcPr>
            <w:tcW w:w="0" w:type="auto"/>
          </w:tcPr>
          <w:p w14:paraId="79476F58"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Increase in the number of samples (Paper 19)- Diversification of the population (Paper 37)</w:t>
            </w:r>
          </w:p>
        </w:tc>
      </w:tr>
      <w:tr w:rsidR="0084110A" w:rsidRPr="009122F6" w14:paraId="719B85F1" w14:textId="77777777" w:rsidTr="00236530">
        <w:tc>
          <w:tcPr>
            <w:tcW w:w="0" w:type="auto"/>
          </w:tcPr>
          <w:p w14:paraId="1F35AFEC"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Technology Integration</w:t>
            </w:r>
          </w:p>
        </w:tc>
        <w:tc>
          <w:tcPr>
            <w:tcW w:w="0" w:type="auto"/>
          </w:tcPr>
          <w:p w14:paraId="69AAAC13"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22</w:t>
            </w:r>
          </w:p>
        </w:tc>
        <w:tc>
          <w:tcPr>
            <w:tcW w:w="0" w:type="auto"/>
          </w:tcPr>
          <w:p w14:paraId="53984FB5"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31.4%</w:t>
            </w:r>
          </w:p>
        </w:tc>
        <w:tc>
          <w:tcPr>
            <w:tcW w:w="0" w:type="auto"/>
          </w:tcPr>
          <w:p w14:paraId="1536C7CB"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Multi-modal combination (Paper 18)- IoT and edge computing (Paper 6)</w:t>
            </w:r>
          </w:p>
        </w:tc>
      </w:tr>
      <w:tr w:rsidR="0084110A" w:rsidRPr="009122F6" w14:paraId="6A104532" w14:textId="77777777" w:rsidTr="00236530">
        <w:tc>
          <w:tcPr>
            <w:tcW w:w="0" w:type="auto"/>
          </w:tcPr>
          <w:p w14:paraId="766E6E86"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Clinical/Practical Applications</w:t>
            </w:r>
          </w:p>
        </w:tc>
        <w:tc>
          <w:tcPr>
            <w:tcW w:w="0" w:type="auto"/>
          </w:tcPr>
          <w:p w14:paraId="0593142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18</w:t>
            </w:r>
          </w:p>
        </w:tc>
        <w:tc>
          <w:tcPr>
            <w:tcW w:w="0" w:type="auto"/>
          </w:tcPr>
          <w:p w14:paraId="7679C1C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25.7%</w:t>
            </w:r>
          </w:p>
        </w:tc>
        <w:tc>
          <w:tcPr>
            <w:tcW w:w="0" w:type="auto"/>
          </w:tcPr>
          <w:p w14:paraId="380D1CA2"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Implementation in hospitals (Paper 11)- Physician decision aids (Paper 36)</w:t>
            </w:r>
          </w:p>
        </w:tc>
      </w:tr>
      <w:tr w:rsidR="0084110A" w:rsidRPr="009122F6" w14:paraId="5020CE39" w14:textId="77777777" w:rsidTr="00236530">
        <w:tc>
          <w:tcPr>
            <w:tcW w:w="0" w:type="auto"/>
          </w:tcPr>
          <w:p w14:paraId="0D3B80E9"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Ethics &amp; Security Aspects</w:t>
            </w:r>
          </w:p>
        </w:tc>
        <w:tc>
          <w:tcPr>
            <w:tcW w:w="0" w:type="auto"/>
          </w:tcPr>
          <w:p w14:paraId="3ECD13C8"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12</w:t>
            </w:r>
          </w:p>
        </w:tc>
        <w:tc>
          <w:tcPr>
            <w:tcW w:w="0" w:type="auto"/>
          </w:tcPr>
          <w:p w14:paraId="5C7CAEC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17.1%</w:t>
            </w:r>
          </w:p>
        </w:tc>
        <w:tc>
          <w:tcPr>
            <w:tcW w:w="0" w:type="auto"/>
          </w:tcPr>
          <w:p w14:paraId="364A014E"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Algorithmic bias handling (Paper 56)- Patient data privacy (Paper 64)</w:t>
            </w:r>
          </w:p>
        </w:tc>
      </w:tr>
      <w:tr w:rsidR="0084110A" w:rsidRPr="009122F6" w14:paraId="162ADDC5" w14:textId="77777777" w:rsidTr="00236530">
        <w:tc>
          <w:tcPr>
            <w:tcW w:w="0" w:type="auto"/>
          </w:tcPr>
          <w:p w14:paraId="1594461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Cost Optimization &amp; Scalability</w:t>
            </w:r>
          </w:p>
        </w:tc>
        <w:tc>
          <w:tcPr>
            <w:tcW w:w="0" w:type="auto"/>
          </w:tcPr>
          <w:p w14:paraId="74518A9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10</w:t>
            </w:r>
          </w:p>
        </w:tc>
        <w:tc>
          <w:tcPr>
            <w:tcW w:w="0" w:type="auto"/>
          </w:tcPr>
          <w:p w14:paraId="773F93F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14.3%</w:t>
            </w:r>
          </w:p>
        </w:tc>
        <w:tc>
          <w:tcPr>
            <w:tcW w:w="0" w:type="auto"/>
          </w:tcPr>
          <w:p w14:paraId="5D1BFFA2"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Reduced implementation costs (Paper 5)- Affordable systems (Paper 65)</w:t>
            </w:r>
          </w:p>
        </w:tc>
      </w:tr>
      <w:tr w:rsidR="0084110A" w:rsidRPr="009122F6" w14:paraId="28FA0F50" w14:textId="77777777" w:rsidTr="00236530">
        <w:tc>
          <w:tcPr>
            <w:tcW w:w="0" w:type="auto"/>
          </w:tcPr>
          <w:p w14:paraId="058A81F9"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Comparative Studies</w:t>
            </w:r>
          </w:p>
        </w:tc>
        <w:tc>
          <w:tcPr>
            <w:tcW w:w="0" w:type="auto"/>
          </w:tcPr>
          <w:p w14:paraId="2DA8D1C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8</w:t>
            </w:r>
          </w:p>
        </w:tc>
        <w:tc>
          <w:tcPr>
            <w:tcW w:w="0" w:type="auto"/>
          </w:tcPr>
          <w:p w14:paraId="40855C9F"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11.4%</w:t>
            </w:r>
          </w:p>
        </w:tc>
        <w:tc>
          <w:tcPr>
            <w:tcW w:w="0" w:type="auto"/>
          </w:tcPr>
          <w:p w14:paraId="573F0D9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Comparison between methods (Paper 20)- Performance benchmarking (Paper 33)</w:t>
            </w:r>
          </w:p>
        </w:tc>
      </w:tr>
      <w:tr w:rsidR="0084110A" w:rsidRPr="009122F6" w14:paraId="0DD38F93" w14:textId="77777777" w:rsidTr="00236530">
        <w:tc>
          <w:tcPr>
            <w:tcW w:w="0" w:type="auto"/>
          </w:tcPr>
          <w:p w14:paraId="1C2A2A49"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Standard Development</w:t>
            </w:r>
          </w:p>
        </w:tc>
        <w:tc>
          <w:tcPr>
            <w:tcW w:w="0" w:type="auto"/>
          </w:tcPr>
          <w:p w14:paraId="18A4EB2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6</w:t>
            </w:r>
          </w:p>
        </w:tc>
        <w:tc>
          <w:tcPr>
            <w:tcW w:w="0" w:type="auto"/>
          </w:tcPr>
          <w:p w14:paraId="09DE906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8.6%</w:t>
            </w:r>
          </w:p>
        </w:tc>
        <w:tc>
          <w:tcPr>
            <w:tcW w:w="0" w:type="auto"/>
          </w:tcPr>
          <w:p w14:paraId="3A55EF8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 Implementation guidelines (Paper 15)- Standard evaluation criteria (Paper 48)</w:t>
            </w:r>
          </w:p>
        </w:tc>
      </w:tr>
    </w:tbl>
    <w:p w14:paraId="0837B959" w14:textId="77777777" w:rsidR="0084110A" w:rsidRPr="009122F6" w:rsidRDefault="0084110A" w:rsidP="0084110A">
      <w:pPr>
        <w:pStyle w:val="BodyText"/>
        <w:jc w:val="both"/>
        <w:rPr>
          <w:rFonts w:ascii="Cambria" w:hAnsi="Cambria" w:cs="Tahoma"/>
          <w:sz w:val="22"/>
          <w:szCs w:val="22"/>
        </w:rPr>
      </w:pPr>
      <w:r w:rsidRPr="009122F6">
        <w:rPr>
          <w:rFonts w:ascii="Cambria" w:hAnsi="Cambria" w:cs="Tahoma"/>
          <w:b/>
          <w:bCs/>
          <w:sz w:val="22"/>
          <w:szCs w:val="22"/>
        </w:rPr>
        <w:t xml:space="preserve">In table </w:t>
      </w:r>
      <w:proofErr w:type="gramStart"/>
      <w:r w:rsidRPr="009122F6">
        <w:rPr>
          <w:rFonts w:ascii="Cambria" w:hAnsi="Cambria" w:cs="Tahoma"/>
          <w:b/>
          <w:bCs/>
          <w:sz w:val="22"/>
          <w:szCs w:val="22"/>
        </w:rPr>
        <w:t>9  of</w:t>
      </w:r>
      <w:proofErr w:type="gramEnd"/>
      <w:r w:rsidRPr="009122F6">
        <w:rPr>
          <w:rFonts w:ascii="Cambria" w:hAnsi="Cambria" w:cs="Tahoma"/>
          <w:b/>
          <w:bCs/>
          <w:sz w:val="22"/>
          <w:szCs w:val="22"/>
        </w:rPr>
        <w:t xml:space="preserve"> </w:t>
      </w:r>
      <w:r w:rsidRPr="009122F6">
        <w:rPr>
          <w:rFonts w:ascii="Cambria" w:hAnsi="Cambria" w:cs="Tahoma"/>
          <w:sz w:val="22"/>
          <w:szCs w:val="22"/>
        </w:rPr>
        <w:t xml:space="preserve">the classification of Future research Analysis of future research recommendations shows that the majority of studies (54.3%) focus on improving models or algorithms, while 31.4% recommend integration with other supporting technologies. A total of 41.4% highlighted the importance of more rigorous validation, and 25.7% encouraged practical implementation in the real world. Interestingly, non-technical aspects are starting to receive attention, such as ethical and safety issues (17.1%) and cost and scalability considerations (14.3%). Therefore, future research should prioritize efforts to bridge technology development with real implementation, consider ethics and regulations from the design stage, and conduct replication studies and method comparisons. Areas that are still underexplored include the social impact of automated technologies, systems sustainability analysis, and cross-cultural and language adaptations that are important to ensure relevance and wide acceptance. The following is the classification of the Summary </w:t>
      </w:r>
      <w:r w:rsidRPr="009122F6">
        <w:rPr>
          <w:rFonts w:ascii="Cambria" w:hAnsi="Cambria" w:cs="Tahoma"/>
          <w:iCs/>
          <w:sz w:val="22"/>
          <w:szCs w:val="22"/>
        </w:rPr>
        <w:t xml:space="preserve">of the discussion </w:t>
      </w:r>
      <w:r w:rsidRPr="009122F6">
        <w:rPr>
          <w:rFonts w:ascii="Cambria" w:hAnsi="Cambria" w:cs="Tahoma"/>
          <w:sz w:val="22"/>
          <w:szCs w:val="22"/>
        </w:rPr>
        <w:t>based on the discussion category, the number of papers and the percentage:</w:t>
      </w:r>
    </w:p>
    <w:p w14:paraId="5CCE2E9F" w14:textId="3780AD48" w:rsidR="0084110A" w:rsidRPr="009122F6" w:rsidRDefault="0084110A" w:rsidP="0084110A">
      <w:pPr>
        <w:pStyle w:val="Caption"/>
        <w:keepNext/>
        <w:jc w:val="center"/>
        <w:rPr>
          <w:rFonts w:ascii="Cambria" w:hAnsi="Cambria"/>
          <w:i w:val="0"/>
          <w:iCs w:val="0"/>
          <w:sz w:val="22"/>
          <w:szCs w:val="22"/>
        </w:rPr>
      </w:pPr>
      <w:r w:rsidRPr="009122F6">
        <w:rPr>
          <w:rFonts w:ascii="Cambria" w:hAnsi="Cambria"/>
          <w:b/>
          <w:bCs/>
          <w:i w:val="0"/>
          <w:sz w:val="22"/>
          <w:szCs w:val="22"/>
        </w:rPr>
        <w:lastRenderedPageBreak/>
        <w:t xml:space="preserve">Table </w:t>
      </w:r>
      <w:r w:rsidRPr="009122F6">
        <w:rPr>
          <w:rFonts w:ascii="Cambria" w:hAnsi="Cambria"/>
          <w:b/>
          <w:bCs/>
          <w:i w:val="0"/>
          <w:iCs w:val="0"/>
          <w:sz w:val="22"/>
          <w:szCs w:val="22"/>
        </w:rPr>
        <w:fldChar w:fldCharType="begin"/>
      </w:r>
      <w:r w:rsidRPr="009122F6">
        <w:rPr>
          <w:rFonts w:ascii="Cambria" w:hAnsi="Cambria"/>
          <w:b/>
          <w:bCs/>
          <w:i w:val="0"/>
          <w:sz w:val="22"/>
          <w:szCs w:val="22"/>
        </w:rPr>
        <w:instrText xml:space="preserve"> SEQ Tabel \* ARABIC </w:instrText>
      </w:r>
      <w:r w:rsidRPr="009122F6">
        <w:rPr>
          <w:rFonts w:ascii="Cambria" w:hAnsi="Cambria"/>
          <w:b/>
          <w:bCs/>
          <w:i w:val="0"/>
          <w:iCs w:val="0"/>
          <w:sz w:val="22"/>
          <w:szCs w:val="22"/>
        </w:rPr>
        <w:fldChar w:fldCharType="separate"/>
      </w:r>
      <w:r w:rsidRPr="009122F6">
        <w:rPr>
          <w:rFonts w:ascii="Cambria" w:hAnsi="Cambria"/>
          <w:b/>
          <w:bCs/>
          <w:i w:val="0"/>
          <w:noProof/>
          <w:sz w:val="22"/>
          <w:szCs w:val="22"/>
        </w:rPr>
        <w:t>10</w:t>
      </w:r>
      <w:r w:rsidRPr="009122F6">
        <w:rPr>
          <w:rFonts w:ascii="Cambria" w:hAnsi="Cambria"/>
          <w:b/>
          <w:bCs/>
          <w:i w:val="0"/>
          <w:iCs w:val="0"/>
          <w:sz w:val="22"/>
          <w:szCs w:val="22"/>
        </w:rPr>
        <w:fldChar w:fldCharType="end"/>
      </w:r>
      <w:r w:rsidR="009122F6">
        <w:rPr>
          <w:rFonts w:ascii="Cambria" w:hAnsi="Cambria"/>
          <w:b/>
          <w:bCs/>
          <w:i w:val="0"/>
          <w:iCs w:val="0"/>
          <w:sz w:val="22"/>
          <w:szCs w:val="22"/>
        </w:rPr>
        <w:t>.</w:t>
      </w:r>
      <w:r w:rsidRPr="009122F6">
        <w:rPr>
          <w:rFonts w:ascii="Cambria" w:hAnsi="Cambria"/>
          <w:i w:val="0"/>
          <w:sz w:val="22"/>
          <w:szCs w:val="22"/>
        </w:rPr>
        <w:t xml:space="preserve"> Classification Summary of the discussion</w:t>
      </w:r>
    </w:p>
    <w:tbl>
      <w:tblPr>
        <w:tblStyle w:val="Table"/>
        <w:tblW w:w="0" w:type="auto"/>
        <w:tblLook w:val="0020" w:firstRow="1" w:lastRow="0" w:firstColumn="0" w:lastColumn="0" w:noHBand="0" w:noVBand="0"/>
      </w:tblPr>
      <w:tblGrid>
        <w:gridCol w:w="2673"/>
        <w:gridCol w:w="1323"/>
        <w:gridCol w:w="1265"/>
        <w:gridCol w:w="4082"/>
      </w:tblGrid>
      <w:tr w:rsidR="0084110A" w:rsidRPr="009122F6" w14:paraId="561C14BD" w14:textId="77777777" w:rsidTr="00236530">
        <w:trPr>
          <w:cnfStyle w:val="100000000000" w:firstRow="1" w:lastRow="0" w:firstColumn="0" w:lastColumn="0" w:oddVBand="0" w:evenVBand="0" w:oddHBand="0" w:evenHBand="0" w:firstRowFirstColumn="0" w:firstRowLastColumn="0" w:lastRowFirstColumn="0" w:lastRowLastColumn="0"/>
          <w:tblHeader/>
        </w:trPr>
        <w:tc>
          <w:tcPr>
            <w:tcW w:w="0" w:type="auto"/>
          </w:tcPr>
          <w:p w14:paraId="6CDF78CE"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Discussion Categories</w:t>
            </w:r>
          </w:p>
        </w:tc>
        <w:tc>
          <w:tcPr>
            <w:tcW w:w="0" w:type="auto"/>
          </w:tcPr>
          <w:p w14:paraId="542A580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Number of Papers</w:t>
            </w:r>
          </w:p>
        </w:tc>
        <w:tc>
          <w:tcPr>
            <w:tcW w:w="0" w:type="auto"/>
          </w:tcPr>
          <w:p w14:paraId="777F81E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Percentage</w:t>
            </w:r>
          </w:p>
        </w:tc>
        <w:tc>
          <w:tcPr>
            <w:tcW w:w="0" w:type="auto"/>
          </w:tcPr>
          <w:p w14:paraId="71A806D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Representative Examples</w:t>
            </w:r>
          </w:p>
        </w:tc>
      </w:tr>
      <w:tr w:rsidR="0084110A" w:rsidRPr="009122F6" w14:paraId="351EF5B5" w14:textId="77777777" w:rsidTr="00236530">
        <w:tc>
          <w:tcPr>
            <w:tcW w:w="0" w:type="auto"/>
          </w:tcPr>
          <w:p w14:paraId="0E548961"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System Performance Validation</w:t>
            </w:r>
          </w:p>
        </w:tc>
        <w:tc>
          <w:tcPr>
            <w:tcW w:w="0" w:type="auto"/>
          </w:tcPr>
          <w:p w14:paraId="5C27053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42</w:t>
            </w:r>
          </w:p>
        </w:tc>
        <w:tc>
          <w:tcPr>
            <w:tcW w:w="0" w:type="auto"/>
          </w:tcPr>
          <w:p w14:paraId="6000B513"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60%</w:t>
            </w:r>
          </w:p>
        </w:tc>
        <w:tc>
          <w:tcPr>
            <w:tcW w:w="0" w:type="auto"/>
          </w:tcPr>
          <w:p w14:paraId="162F716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"Model shows expert-equivalent accuracy with improved time efficiency" (Paper 10)</w:t>
            </w:r>
          </w:p>
        </w:tc>
      </w:tr>
      <w:tr w:rsidR="0084110A" w:rsidRPr="009122F6" w14:paraId="74F8DAE6" w14:textId="77777777" w:rsidTr="00236530">
        <w:tc>
          <w:tcPr>
            <w:tcW w:w="0" w:type="auto"/>
          </w:tcPr>
          <w:p w14:paraId="7FC4E070"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Practical Implications</w:t>
            </w:r>
          </w:p>
        </w:tc>
        <w:tc>
          <w:tcPr>
            <w:tcW w:w="0" w:type="auto"/>
          </w:tcPr>
          <w:p w14:paraId="3EE33807"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35</w:t>
            </w:r>
          </w:p>
        </w:tc>
        <w:tc>
          <w:tcPr>
            <w:tcW w:w="0" w:type="auto"/>
          </w:tcPr>
          <w:p w14:paraId="2DE92A7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50%</w:t>
            </w:r>
          </w:p>
        </w:tc>
        <w:tc>
          <w:tcPr>
            <w:tcW w:w="0" w:type="auto"/>
          </w:tcPr>
          <w:p w14:paraId="650E69AC"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"Findings support clinical implementation as a decision aid" (Paper 11)</w:t>
            </w:r>
          </w:p>
        </w:tc>
      </w:tr>
      <w:tr w:rsidR="0084110A" w:rsidRPr="009122F6" w14:paraId="03A17C4F" w14:textId="77777777" w:rsidTr="00236530">
        <w:tc>
          <w:tcPr>
            <w:tcW w:w="0" w:type="auto"/>
          </w:tcPr>
          <w:p w14:paraId="09F2AD95"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Study Limitations</w:t>
            </w:r>
          </w:p>
        </w:tc>
        <w:tc>
          <w:tcPr>
            <w:tcW w:w="0" w:type="auto"/>
          </w:tcPr>
          <w:p w14:paraId="3DF9E2B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31</w:t>
            </w:r>
          </w:p>
        </w:tc>
        <w:tc>
          <w:tcPr>
            <w:tcW w:w="0" w:type="auto"/>
          </w:tcPr>
          <w:p w14:paraId="367AE85C"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44.3%</w:t>
            </w:r>
          </w:p>
        </w:tc>
        <w:tc>
          <w:tcPr>
            <w:tcW w:w="0" w:type="auto"/>
          </w:tcPr>
          <w:p w14:paraId="2430EA83"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"Key limitations on sample size and dataset variation" (Paper 18)</w:t>
            </w:r>
          </w:p>
        </w:tc>
      </w:tr>
      <w:tr w:rsidR="0084110A" w:rsidRPr="009122F6" w14:paraId="42BFF03E" w14:textId="77777777" w:rsidTr="00236530">
        <w:tc>
          <w:tcPr>
            <w:tcW w:w="0" w:type="auto"/>
          </w:tcPr>
          <w:p w14:paraId="652A9892"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Potential for Development</w:t>
            </w:r>
          </w:p>
        </w:tc>
        <w:tc>
          <w:tcPr>
            <w:tcW w:w="0" w:type="auto"/>
          </w:tcPr>
          <w:p w14:paraId="2E2C09E2"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28</w:t>
            </w:r>
          </w:p>
        </w:tc>
        <w:tc>
          <w:tcPr>
            <w:tcW w:w="0" w:type="auto"/>
          </w:tcPr>
          <w:p w14:paraId="6A83EBB4"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40%</w:t>
            </w:r>
          </w:p>
        </w:tc>
        <w:tc>
          <w:tcPr>
            <w:tcW w:w="0" w:type="auto"/>
          </w:tcPr>
          <w:p w14:paraId="61F658F7"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"Integration with PACS can improve clinical adoption" (Paper 10)</w:t>
            </w:r>
          </w:p>
        </w:tc>
      </w:tr>
      <w:tr w:rsidR="0084110A" w:rsidRPr="009122F6" w14:paraId="733CEFEF" w14:textId="77777777" w:rsidTr="00236530">
        <w:tc>
          <w:tcPr>
            <w:tcW w:w="0" w:type="auto"/>
          </w:tcPr>
          <w:p w14:paraId="587065AB"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Comparison with Previous Studies</w:t>
            </w:r>
          </w:p>
        </w:tc>
        <w:tc>
          <w:tcPr>
            <w:tcW w:w="0" w:type="auto"/>
          </w:tcPr>
          <w:p w14:paraId="6AF94795"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22</w:t>
            </w:r>
          </w:p>
        </w:tc>
        <w:tc>
          <w:tcPr>
            <w:tcW w:w="0" w:type="auto"/>
          </w:tcPr>
          <w:p w14:paraId="783BFFA2"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31.4%</w:t>
            </w:r>
          </w:p>
        </w:tc>
        <w:tc>
          <w:tcPr>
            <w:tcW w:w="0" w:type="auto"/>
          </w:tcPr>
          <w:p w14:paraId="30CAE842"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"Results are consistent with study X but differ in aspect Y" (Paper 25)</w:t>
            </w:r>
          </w:p>
        </w:tc>
      </w:tr>
      <w:tr w:rsidR="0084110A" w:rsidRPr="009122F6" w14:paraId="54222EB8" w14:textId="77777777" w:rsidTr="00236530">
        <w:tc>
          <w:tcPr>
            <w:tcW w:w="0" w:type="auto"/>
          </w:tcPr>
          <w:p w14:paraId="03CD9A5D"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Social/Technical Impact</w:t>
            </w:r>
          </w:p>
        </w:tc>
        <w:tc>
          <w:tcPr>
            <w:tcW w:w="0" w:type="auto"/>
          </w:tcPr>
          <w:p w14:paraId="01A7A30D"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15</w:t>
            </w:r>
          </w:p>
        </w:tc>
        <w:tc>
          <w:tcPr>
            <w:tcW w:w="0" w:type="auto"/>
          </w:tcPr>
          <w:p w14:paraId="1726E538"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21.4%</w:t>
            </w:r>
          </w:p>
        </w:tc>
        <w:tc>
          <w:tcPr>
            <w:tcW w:w="0" w:type="auto"/>
          </w:tcPr>
          <w:p w14:paraId="4A34515D"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"Systems can reduce disparities in access to health services" (Paper 37)</w:t>
            </w:r>
          </w:p>
        </w:tc>
      </w:tr>
      <w:tr w:rsidR="0084110A" w:rsidRPr="009122F6" w14:paraId="487108D1" w14:textId="77777777" w:rsidTr="00236530">
        <w:tc>
          <w:tcPr>
            <w:tcW w:w="0" w:type="auto"/>
          </w:tcPr>
          <w:p w14:paraId="3E672767"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Policy Recommendations</w:t>
            </w:r>
          </w:p>
        </w:tc>
        <w:tc>
          <w:tcPr>
            <w:tcW w:w="0" w:type="auto"/>
          </w:tcPr>
          <w:p w14:paraId="165F7D1A"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9</w:t>
            </w:r>
          </w:p>
        </w:tc>
        <w:tc>
          <w:tcPr>
            <w:tcW w:w="0" w:type="auto"/>
          </w:tcPr>
          <w:p w14:paraId="684F0A63"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12.9%</w:t>
            </w:r>
          </w:p>
        </w:tc>
        <w:tc>
          <w:tcPr>
            <w:tcW w:w="0" w:type="auto"/>
          </w:tcPr>
          <w:p w14:paraId="3B4E5DCB"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"Validation standards are required for clinical implementation" (Paper 29)</w:t>
            </w:r>
          </w:p>
        </w:tc>
      </w:tr>
      <w:tr w:rsidR="0084110A" w:rsidRPr="009122F6" w14:paraId="2DEE7E14" w14:textId="77777777" w:rsidTr="00236530">
        <w:tc>
          <w:tcPr>
            <w:tcW w:w="0" w:type="auto"/>
          </w:tcPr>
          <w:p w14:paraId="336C0C20" w14:textId="77777777" w:rsidR="0084110A" w:rsidRPr="009122F6" w:rsidRDefault="0084110A" w:rsidP="009122F6">
            <w:pPr>
              <w:pStyle w:val="Compact"/>
              <w:jc w:val="center"/>
              <w:rPr>
                <w:rFonts w:ascii="Cambria" w:hAnsi="Cambria"/>
                <w:sz w:val="22"/>
                <w:szCs w:val="22"/>
              </w:rPr>
            </w:pPr>
            <w:r w:rsidRPr="009122F6">
              <w:rPr>
                <w:rFonts w:ascii="Cambria" w:hAnsi="Cambria"/>
                <w:b/>
                <w:bCs/>
                <w:sz w:val="22"/>
                <w:szCs w:val="22"/>
              </w:rPr>
              <w:t>Theoretical Implications</w:t>
            </w:r>
          </w:p>
        </w:tc>
        <w:tc>
          <w:tcPr>
            <w:tcW w:w="0" w:type="auto"/>
          </w:tcPr>
          <w:p w14:paraId="5319E511"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7</w:t>
            </w:r>
          </w:p>
        </w:tc>
        <w:tc>
          <w:tcPr>
            <w:tcW w:w="0" w:type="auto"/>
          </w:tcPr>
          <w:p w14:paraId="237594EB" w14:textId="77777777" w:rsidR="0084110A" w:rsidRPr="009122F6" w:rsidRDefault="0084110A" w:rsidP="009122F6">
            <w:pPr>
              <w:pStyle w:val="Compact"/>
              <w:jc w:val="center"/>
              <w:rPr>
                <w:rFonts w:ascii="Cambria" w:hAnsi="Cambria"/>
                <w:sz w:val="22"/>
                <w:szCs w:val="22"/>
              </w:rPr>
            </w:pPr>
            <w:r w:rsidRPr="009122F6">
              <w:rPr>
                <w:rFonts w:ascii="Cambria" w:hAnsi="Cambria"/>
                <w:sz w:val="22"/>
                <w:szCs w:val="22"/>
              </w:rPr>
              <w:t>10%</w:t>
            </w:r>
          </w:p>
        </w:tc>
        <w:tc>
          <w:tcPr>
            <w:tcW w:w="0" w:type="auto"/>
          </w:tcPr>
          <w:p w14:paraId="70DEC9BE" w14:textId="77777777" w:rsidR="0084110A" w:rsidRPr="009122F6" w:rsidRDefault="0084110A" w:rsidP="00236530">
            <w:pPr>
              <w:pStyle w:val="Compact"/>
              <w:rPr>
                <w:rFonts w:ascii="Cambria" w:hAnsi="Cambria"/>
                <w:sz w:val="22"/>
                <w:szCs w:val="22"/>
              </w:rPr>
            </w:pPr>
            <w:r w:rsidRPr="009122F6">
              <w:rPr>
                <w:rFonts w:ascii="Cambria" w:hAnsi="Cambria"/>
                <w:sz w:val="22"/>
                <w:szCs w:val="22"/>
              </w:rPr>
              <w:t>"Findings support Z's theory of neural adaptation" (Paper 55)</w:t>
            </w:r>
          </w:p>
        </w:tc>
      </w:tr>
    </w:tbl>
    <w:p w14:paraId="7AC2210F" w14:textId="4D139457" w:rsidR="0084110A" w:rsidRPr="009122F6" w:rsidRDefault="0084110A" w:rsidP="009122F6">
      <w:pPr>
        <w:pStyle w:val="BodyText"/>
        <w:jc w:val="both"/>
        <w:rPr>
          <w:rFonts w:ascii="Cambria" w:hAnsi="Cambria" w:cs="Tahoma"/>
          <w:sz w:val="22"/>
          <w:szCs w:val="22"/>
        </w:rPr>
      </w:pPr>
      <w:r w:rsidRPr="009122F6">
        <w:rPr>
          <w:rFonts w:ascii="Cambria" w:hAnsi="Cambria" w:cs="Tahoma"/>
          <w:b/>
          <w:bCs/>
          <w:sz w:val="22"/>
          <w:szCs w:val="22"/>
        </w:rPr>
        <w:t xml:space="preserve">In table </w:t>
      </w:r>
      <w:proofErr w:type="gramStart"/>
      <w:r w:rsidRPr="009122F6">
        <w:rPr>
          <w:rFonts w:ascii="Cambria" w:hAnsi="Cambria" w:cs="Tahoma"/>
          <w:b/>
          <w:bCs/>
          <w:sz w:val="22"/>
          <w:szCs w:val="22"/>
        </w:rPr>
        <w:t>10  of</w:t>
      </w:r>
      <w:proofErr w:type="gramEnd"/>
      <w:r w:rsidRPr="009122F6">
        <w:rPr>
          <w:rFonts w:ascii="Cambria" w:hAnsi="Cambria" w:cs="Tahoma"/>
          <w:b/>
          <w:bCs/>
          <w:sz w:val="22"/>
          <w:szCs w:val="22"/>
        </w:rPr>
        <w:t xml:space="preserve"> the classification of </w:t>
      </w:r>
      <w:r w:rsidRPr="009122F6">
        <w:rPr>
          <w:rFonts w:ascii="Cambria" w:hAnsi="Cambria" w:cs="Tahoma"/>
          <w:sz w:val="22"/>
          <w:szCs w:val="22"/>
        </w:rPr>
        <w:t>the discussion Analysis of the discussion patterns in the study shows that most studies (60%) focus on validating system performance through quantitative metrics such as accuracy, sensitivity, and time efficiency. In addition, 50% of the discussion emphasized on practical applications and factors influencing the adoption of technology in real institutions. Transparency on the limitations of the study was also quite dominant (44.3%), generally related to sample issues, data bias, or generalization limitations. Balanced discussions are also starting to emerge, with 40% including development directions and 31.4% conducting literature comparisons. To improve the quality of the discussion, it is suggested that future research discuss more socio-technical impacts, relate findings to relevant theories, and include more in-depth causal analysis. Areas that still need to be strengthened include the discussion of implementation ethics (only 12.9%), cost-benefit comparative analysis, and the long-term impact of the use of automated systems.</w:t>
      </w:r>
    </w:p>
    <w:p w14:paraId="19F9EAFF" w14:textId="229D2D2D" w:rsidR="00650EC7" w:rsidRPr="00913E00" w:rsidRDefault="00913E00" w:rsidP="00913E00">
      <w:pPr>
        <w:autoSpaceDE w:val="0"/>
        <w:spacing w:after="120"/>
        <w:jc w:val="center"/>
        <w:rPr>
          <w:rFonts w:ascii="Cambria" w:hAnsi="Cambria"/>
          <w:b/>
          <w:color w:val="000000"/>
          <w:sz w:val="22"/>
          <w:szCs w:val="22"/>
          <w:lang w:val="fi-FI"/>
        </w:rPr>
      </w:pPr>
      <w:r w:rsidRPr="00913E00">
        <w:rPr>
          <w:rFonts w:ascii="Cambria" w:hAnsi="Cambria"/>
          <w:b/>
          <w:color w:val="000000"/>
          <w:sz w:val="22"/>
          <w:szCs w:val="22"/>
          <w:lang w:val="fi-FI"/>
        </w:rPr>
        <w:t>CONCLUSION</w:t>
      </w:r>
    </w:p>
    <w:p w14:paraId="0FE403E8" w14:textId="032E9C49" w:rsidR="00650EC7" w:rsidRPr="009122F6" w:rsidRDefault="009122F6" w:rsidP="009122F6">
      <w:pPr>
        <w:autoSpaceDE w:val="0"/>
        <w:ind w:firstLine="567"/>
        <w:jc w:val="both"/>
        <w:rPr>
          <w:rFonts w:ascii="Cambria" w:hAnsi="Cambria" w:cs="Tahoma"/>
          <w:sz w:val="22"/>
          <w:szCs w:val="22"/>
        </w:rPr>
      </w:pPr>
      <w:r w:rsidRPr="009122F6">
        <w:rPr>
          <w:rFonts w:ascii="Cambria" w:hAnsi="Cambria" w:cs="Tahoma"/>
          <w:sz w:val="22"/>
          <w:szCs w:val="22"/>
        </w:rPr>
        <w:t xml:space="preserve">This research provides a comprehensive overview of the role of AI in educational assessment systems, highlighting both its benefits and challenges. The results of bibliometric analysis and systematic literature review confirm that AI has the potential to improve the efficiency, consistency, and personalization of assessments, which in turn can enrich students' learning experiences. However, these findings also reveal significant risks related to algorithmic bias, which can be sourced from unrepresentative training data, developer bias, and socio-cultural factors. This bias has the potential to exacerbate inequalities in education and harm students from marginalized groups. Therefore, this study emphasizes the need for proactive actions to ensure the fair and responsible application of AI in assessment. These actions include the development of strict ethical guidelines, increased algorithm transparency, and the provision of comprehensive training for educators. Specific recommendations for future research include the development of inclusive and diverse AI models, cross-cultural validation to ensure generalization, and the integration of </w:t>
      </w:r>
      <w:r w:rsidRPr="009122F6">
        <w:rPr>
          <w:rFonts w:ascii="Cambria" w:hAnsi="Cambria" w:cs="Tahoma"/>
          <w:i/>
          <w:iCs/>
          <w:sz w:val="22"/>
          <w:szCs w:val="22"/>
        </w:rPr>
        <w:t>fair AI</w:t>
      </w:r>
      <w:r w:rsidRPr="009122F6">
        <w:rPr>
          <w:rFonts w:ascii="Cambria" w:hAnsi="Cambria" w:cs="Tahoma"/>
          <w:sz w:val="22"/>
          <w:szCs w:val="22"/>
        </w:rPr>
        <w:t xml:space="preserve"> </w:t>
      </w:r>
      <w:proofErr w:type="gramStart"/>
      <w:r w:rsidRPr="009122F6">
        <w:rPr>
          <w:rFonts w:ascii="Cambria" w:hAnsi="Cambria" w:cs="Tahoma"/>
          <w:sz w:val="22"/>
          <w:szCs w:val="22"/>
        </w:rPr>
        <w:t>principles  in</w:t>
      </w:r>
      <w:proofErr w:type="gramEnd"/>
      <w:r w:rsidRPr="009122F6">
        <w:rPr>
          <w:rFonts w:ascii="Cambria" w:hAnsi="Cambria" w:cs="Tahoma"/>
          <w:sz w:val="22"/>
          <w:szCs w:val="22"/>
        </w:rPr>
        <w:t xml:space="preserve"> system design. The limitations of this study mainly lie in the selected publication time range (2021-2025) and focus on the Scopus database. Further research can expand the temporal scope and data sources to get a </w:t>
      </w:r>
      <w:proofErr w:type="gramStart"/>
      <w:r w:rsidRPr="009122F6">
        <w:rPr>
          <w:rFonts w:ascii="Cambria" w:hAnsi="Cambria" w:cs="Tahoma"/>
          <w:sz w:val="22"/>
          <w:szCs w:val="22"/>
        </w:rPr>
        <w:t>more complete and in-depth</w:t>
      </w:r>
      <w:proofErr w:type="gramEnd"/>
      <w:r w:rsidRPr="009122F6">
        <w:rPr>
          <w:rFonts w:ascii="Cambria" w:hAnsi="Cambria" w:cs="Tahoma"/>
          <w:sz w:val="22"/>
          <w:szCs w:val="22"/>
        </w:rPr>
        <w:t xml:space="preserve"> picture of this topic. Nonetheless, the study makes a significant contribution to synthesizing the existing literature and offers clear direction for the development and implementation of a more equitable and effective AI scoring system.</w:t>
      </w:r>
    </w:p>
    <w:p w14:paraId="39768B3C" w14:textId="5B19D82A" w:rsidR="00650EC7" w:rsidRPr="00913E00" w:rsidRDefault="00913E00" w:rsidP="00913E00">
      <w:pPr>
        <w:autoSpaceDE w:val="0"/>
        <w:spacing w:after="240"/>
        <w:jc w:val="center"/>
        <w:rPr>
          <w:rFonts w:ascii="Cambria" w:hAnsi="Cambria"/>
          <w:b/>
          <w:color w:val="000000"/>
          <w:lang w:val="fi-FI"/>
        </w:rPr>
      </w:pPr>
      <w:r w:rsidRPr="00913E00">
        <w:rPr>
          <w:rFonts w:ascii="Cambria" w:hAnsi="Cambria"/>
          <w:b/>
          <w:color w:val="000000"/>
          <w:lang w:val="fi-FI"/>
        </w:rPr>
        <w:lastRenderedPageBreak/>
        <w:t>REFERENCES</w:t>
      </w:r>
    </w:p>
    <w:p w14:paraId="554F037B" w14:textId="40D6164D" w:rsidR="00D10010" w:rsidRPr="00D10010" w:rsidRDefault="00B604EC" w:rsidP="00D10010">
      <w:pPr>
        <w:widowControl w:val="0"/>
        <w:autoSpaceDE w:val="0"/>
        <w:autoSpaceDN w:val="0"/>
        <w:adjustRightInd w:val="0"/>
        <w:ind w:left="480" w:hanging="480"/>
        <w:rPr>
          <w:rFonts w:ascii="Cambria" w:hAnsi="Cambria"/>
          <w:noProof/>
          <w:sz w:val="22"/>
        </w:rPr>
      </w:pPr>
      <w:r>
        <w:rPr>
          <w:rFonts w:ascii="Cambria" w:hAnsi="Cambria" w:cs="Tahoma"/>
          <w:noProof/>
          <w:sz w:val="22"/>
        </w:rPr>
        <w:fldChar w:fldCharType="begin" w:fldLock="1"/>
      </w:r>
      <w:r>
        <w:rPr>
          <w:rFonts w:ascii="Cambria" w:hAnsi="Cambria" w:cs="Tahoma"/>
          <w:noProof/>
          <w:sz w:val="22"/>
        </w:rPr>
        <w:instrText xml:space="preserve">ADDIN Mendeley Bibliography CSL_BIBLIOGRAPHY </w:instrText>
      </w:r>
      <w:r>
        <w:rPr>
          <w:rFonts w:ascii="Cambria" w:hAnsi="Cambria" w:cs="Tahoma"/>
          <w:noProof/>
          <w:sz w:val="22"/>
        </w:rPr>
        <w:fldChar w:fldCharType="separate"/>
      </w:r>
      <w:r w:rsidR="00D10010" w:rsidRPr="00D10010">
        <w:rPr>
          <w:rFonts w:ascii="Cambria" w:hAnsi="Cambria"/>
          <w:noProof/>
          <w:sz w:val="22"/>
        </w:rPr>
        <w:t xml:space="preserve">Aghaziarati, A., Nejatifar, S., &amp; Abedi, A. (2023). Artificial Intelligence in Education: Investigating Teacher Attitudes. </w:t>
      </w:r>
      <w:r w:rsidR="00D10010" w:rsidRPr="00D10010">
        <w:rPr>
          <w:rFonts w:ascii="Cambria" w:hAnsi="Cambria"/>
          <w:i/>
          <w:iCs/>
          <w:noProof/>
          <w:sz w:val="22"/>
        </w:rPr>
        <w:t>AI and Tech in Behavioral and Social Sciences</w:t>
      </w:r>
      <w:r w:rsidR="00D10010" w:rsidRPr="00D10010">
        <w:rPr>
          <w:rFonts w:ascii="Cambria" w:hAnsi="Cambria"/>
          <w:noProof/>
          <w:sz w:val="22"/>
        </w:rPr>
        <w:t xml:space="preserve">, </w:t>
      </w:r>
      <w:r w:rsidR="00D10010" w:rsidRPr="00D10010">
        <w:rPr>
          <w:rFonts w:ascii="Cambria" w:hAnsi="Cambria"/>
          <w:i/>
          <w:iCs/>
          <w:noProof/>
          <w:sz w:val="22"/>
        </w:rPr>
        <w:t>1</w:t>
      </w:r>
      <w:r w:rsidR="00D10010" w:rsidRPr="00D10010">
        <w:rPr>
          <w:rFonts w:ascii="Cambria" w:hAnsi="Cambria"/>
          <w:noProof/>
          <w:sz w:val="22"/>
        </w:rPr>
        <w:t>(1), 35–42. https://doi.org/10.61838/kman.aitech.1.1.6</w:t>
      </w:r>
    </w:p>
    <w:p w14:paraId="53455C3A"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Anuyahong, B., Rattanapong, C., &amp; Patcha, I. (2023). Analyzing the Impact of Artificial Intelligence in Personalized Learning and Adaptive Assessment in Higher Education. </w:t>
      </w:r>
      <w:r w:rsidRPr="00D10010">
        <w:rPr>
          <w:rFonts w:ascii="Cambria" w:hAnsi="Cambria"/>
          <w:i/>
          <w:iCs/>
          <w:noProof/>
          <w:sz w:val="22"/>
        </w:rPr>
        <w:t>International Journal of Research and Scientific Innovation</w:t>
      </w:r>
      <w:r w:rsidRPr="00D10010">
        <w:rPr>
          <w:rFonts w:ascii="Cambria" w:hAnsi="Cambria"/>
          <w:noProof/>
          <w:sz w:val="22"/>
        </w:rPr>
        <w:t xml:space="preserve">, </w:t>
      </w:r>
      <w:r w:rsidRPr="00D10010">
        <w:rPr>
          <w:rFonts w:ascii="Cambria" w:hAnsi="Cambria"/>
          <w:i/>
          <w:iCs/>
          <w:noProof/>
          <w:sz w:val="22"/>
        </w:rPr>
        <w:t>X</w:t>
      </w:r>
      <w:r w:rsidRPr="00D10010">
        <w:rPr>
          <w:rFonts w:ascii="Cambria" w:hAnsi="Cambria"/>
          <w:noProof/>
          <w:sz w:val="22"/>
        </w:rPr>
        <w:t>(IV), 88–93. https://doi.org/10.51244/ijrsi.2023.10412</w:t>
      </w:r>
    </w:p>
    <w:p w14:paraId="26EFEF0B"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Baker, C., &amp; Fairclough, S. H. (2021). Adaptive virtual reality. </w:t>
      </w:r>
      <w:r w:rsidRPr="00D10010">
        <w:rPr>
          <w:rFonts w:ascii="Cambria" w:hAnsi="Cambria"/>
          <w:i/>
          <w:iCs/>
          <w:noProof/>
          <w:sz w:val="22"/>
        </w:rPr>
        <w:t>Current Research in Neuroadaptive Technology</w:t>
      </w:r>
      <w:r w:rsidRPr="00D10010">
        <w:rPr>
          <w:rFonts w:ascii="Cambria" w:hAnsi="Cambria"/>
          <w:noProof/>
          <w:sz w:val="22"/>
        </w:rPr>
        <w:t>, 159–176. https://doi.org/10.1016/B978-0-12-821413-8.00014-2</w:t>
      </w:r>
    </w:p>
    <w:p w14:paraId="5DB247E5"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Cavique, L. (2024). Implications of causality in artificial intelligence. </w:t>
      </w:r>
      <w:r w:rsidRPr="00D10010">
        <w:rPr>
          <w:rFonts w:ascii="Cambria" w:hAnsi="Cambria"/>
          <w:i/>
          <w:iCs/>
          <w:noProof/>
          <w:sz w:val="22"/>
        </w:rPr>
        <w:t>Frontiers in Artificial Intelligence</w:t>
      </w:r>
      <w:r w:rsidRPr="00D10010">
        <w:rPr>
          <w:rFonts w:ascii="Cambria" w:hAnsi="Cambria"/>
          <w:noProof/>
          <w:sz w:val="22"/>
        </w:rPr>
        <w:t xml:space="preserve">, </w:t>
      </w:r>
      <w:r w:rsidRPr="00D10010">
        <w:rPr>
          <w:rFonts w:ascii="Cambria" w:hAnsi="Cambria"/>
          <w:i/>
          <w:iCs/>
          <w:noProof/>
          <w:sz w:val="22"/>
        </w:rPr>
        <w:t>7</w:t>
      </w:r>
      <w:r w:rsidRPr="00D10010">
        <w:rPr>
          <w:rFonts w:ascii="Cambria" w:hAnsi="Cambria"/>
          <w:noProof/>
          <w:sz w:val="22"/>
        </w:rPr>
        <w:t>(August), 1–5. https://doi.org/10.3389/frai.2024.1439702</w:t>
      </w:r>
    </w:p>
    <w:p w14:paraId="1B7D004C"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Coghlan, S., Miller, T., &amp; Paterson, J. (2021). Good Proctor or “Big Brother”? Ethics of Online Exam Supervision Technologies. </w:t>
      </w:r>
      <w:r w:rsidRPr="00D10010">
        <w:rPr>
          <w:rFonts w:ascii="Cambria" w:hAnsi="Cambria"/>
          <w:i/>
          <w:iCs/>
          <w:noProof/>
          <w:sz w:val="22"/>
        </w:rPr>
        <w:t>Philosophy and Technology</w:t>
      </w:r>
      <w:r w:rsidRPr="00D10010">
        <w:rPr>
          <w:rFonts w:ascii="Cambria" w:hAnsi="Cambria"/>
          <w:noProof/>
          <w:sz w:val="22"/>
        </w:rPr>
        <w:t xml:space="preserve">, </w:t>
      </w:r>
      <w:r w:rsidRPr="00D10010">
        <w:rPr>
          <w:rFonts w:ascii="Cambria" w:hAnsi="Cambria"/>
          <w:i/>
          <w:iCs/>
          <w:noProof/>
          <w:sz w:val="22"/>
        </w:rPr>
        <w:t>34</w:t>
      </w:r>
      <w:r w:rsidRPr="00D10010">
        <w:rPr>
          <w:rFonts w:ascii="Cambria" w:hAnsi="Cambria"/>
          <w:noProof/>
          <w:sz w:val="22"/>
        </w:rPr>
        <w:t>(4), 1581–1606. https://doi.org/10.1007/s13347-021-00476-1</w:t>
      </w:r>
    </w:p>
    <w:p w14:paraId="258130DD"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Crompton, H., &amp; Burke, D. (2022). Artificial intelligence in K-12 education. </w:t>
      </w:r>
      <w:r w:rsidRPr="00D10010">
        <w:rPr>
          <w:rFonts w:ascii="Cambria" w:hAnsi="Cambria"/>
          <w:i/>
          <w:iCs/>
          <w:noProof/>
          <w:sz w:val="22"/>
        </w:rPr>
        <w:t>SN Social Sciences</w:t>
      </w:r>
      <w:r w:rsidRPr="00D10010">
        <w:rPr>
          <w:rFonts w:ascii="Cambria" w:hAnsi="Cambria"/>
          <w:noProof/>
          <w:sz w:val="22"/>
        </w:rPr>
        <w:t xml:space="preserve">, </w:t>
      </w:r>
      <w:r w:rsidRPr="00D10010">
        <w:rPr>
          <w:rFonts w:ascii="Cambria" w:hAnsi="Cambria"/>
          <w:i/>
          <w:iCs/>
          <w:noProof/>
          <w:sz w:val="22"/>
        </w:rPr>
        <w:t>2</w:t>
      </w:r>
      <w:r w:rsidRPr="00D10010">
        <w:rPr>
          <w:rFonts w:ascii="Cambria" w:hAnsi="Cambria"/>
          <w:noProof/>
          <w:sz w:val="22"/>
        </w:rPr>
        <w:t>(7), 2(3), 431-440. https://doi.org/10.1007/s43545-022-00425-5</w:t>
      </w:r>
    </w:p>
    <w:p w14:paraId="683C4C2C"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Crompton, H., &amp; Burke, D. (2023). Artificial intelligence in higher education: the state of the field. </w:t>
      </w:r>
      <w:r w:rsidRPr="00D10010">
        <w:rPr>
          <w:rFonts w:ascii="Cambria" w:hAnsi="Cambria"/>
          <w:i/>
          <w:iCs/>
          <w:noProof/>
          <w:sz w:val="22"/>
        </w:rPr>
        <w:t>International Journal of Educational Technology in Higher Education</w:t>
      </w:r>
      <w:r w:rsidRPr="00D10010">
        <w:rPr>
          <w:rFonts w:ascii="Cambria" w:hAnsi="Cambria"/>
          <w:noProof/>
          <w:sz w:val="22"/>
        </w:rPr>
        <w:t xml:space="preserve">, </w:t>
      </w:r>
      <w:r w:rsidRPr="00D10010">
        <w:rPr>
          <w:rFonts w:ascii="Cambria" w:hAnsi="Cambria"/>
          <w:i/>
          <w:iCs/>
          <w:noProof/>
          <w:sz w:val="22"/>
        </w:rPr>
        <w:t>20</w:t>
      </w:r>
      <w:r w:rsidRPr="00D10010">
        <w:rPr>
          <w:rFonts w:ascii="Cambria" w:hAnsi="Cambria"/>
          <w:noProof/>
          <w:sz w:val="22"/>
        </w:rPr>
        <w:t>(1). https://doi.org/10.1186/s41239-023-00392-8</w:t>
      </w:r>
    </w:p>
    <w:p w14:paraId="6C433588"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Damaševičius, R. (2024). Commentary: ChatGPT-supported student assessment – can we rely on it? </w:t>
      </w:r>
      <w:r w:rsidRPr="00D10010">
        <w:rPr>
          <w:rFonts w:ascii="Cambria" w:hAnsi="Cambria"/>
          <w:i/>
          <w:iCs/>
          <w:noProof/>
          <w:sz w:val="22"/>
        </w:rPr>
        <w:t>Journal of Research in Innovative Teaching and Learning</w:t>
      </w:r>
      <w:r w:rsidRPr="00D10010">
        <w:rPr>
          <w:rFonts w:ascii="Cambria" w:hAnsi="Cambria"/>
          <w:noProof/>
          <w:sz w:val="22"/>
        </w:rPr>
        <w:t xml:space="preserve">, </w:t>
      </w:r>
      <w:r w:rsidRPr="00D10010">
        <w:rPr>
          <w:rFonts w:ascii="Cambria" w:hAnsi="Cambria"/>
          <w:i/>
          <w:iCs/>
          <w:noProof/>
          <w:sz w:val="22"/>
        </w:rPr>
        <w:t>17</w:t>
      </w:r>
      <w:r w:rsidRPr="00D10010">
        <w:rPr>
          <w:rFonts w:ascii="Cambria" w:hAnsi="Cambria"/>
          <w:noProof/>
          <w:sz w:val="22"/>
        </w:rPr>
        <w:t>(2), 414–416. https://doi.org/10.1108/JRIT-09-2024-195</w:t>
      </w:r>
    </w:p>
    <w:p w14:paraId="6969A4C7"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Ferrara, E. (2024). Fairness and Bias in Artificial Intelligence: A Brief Survey of Sources, Impacts, and Mitigation Strategies. </w:t>
      </w:r>
      <w:r w:rsidRPr="00D10010">
        <w:rPr>
          <w:rFonts w:ascii="Cambria" w:hAnsi="Cambria"/>
          <w:i/>
          <w:iCs/>
          <w:noProof/>
          <w:sz w:val="22"/>
        </w:rPr>
        <w:t>Sci</w:t>
      </w:r>
      <w:r w:rsidRPr="00D10010">
        <w:rPr>
          <w:rFonts w:ascii="Cambria" w:hAnsi="Cambria"/>
          <w:noProof/>
          <w:sz w:val="22"/>
        </w:rPr>
        <w:t xml:space="preserve">, </w:t>
      </w:r>
      <w:r w:rsidRPr="00D10010">
        <w:rPr>
          <w:rFonts w:ascii="Cambria" w:hAnsi="Cambria"/>
          <w:i/>
          <w:iCs/>
          <w:noProof/>
          <w:sz w:val="22"/>
        </w:rPr>
        <w:t>6</w:t>
      </w:r>
      <w:r w:rsidRPr="00D10010">
        <w:rPr>
          <w:rFonts w:ascii="Cambria" w:hAnsi="Cambria"/>
          <w:noProof/>
          <w:sz w:val="22"/>
        </w:rPr>
        <w:t>(1). https://doi.org/10.3390/sci6010003</w:t>
      </w:r>
    </w:p>
    <w:p w14:paraId="14E36899"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Gándara, D., Anahideh, H., Ison, M. P., &amp; Picchiarini, L. (2024). Inside the Black Box: Detecting and Mitigating Algorithmic Bias Across Racialized Groups in College Student-Success Prediction. </w:t>
      </w:r>
      <w:r w:rsidRPr="00D10010">
        <w:rPr>
          <w:rFonts w:ascii="Cambria" w:hAnsi="Cambria"/>
          <w:i/>
          <w:iCs/>
          <w:noProof/>
          <w:sz w:val="22"/>
        </w:rPr>
        <w:t>AERA Open</w:t>
      </w:r>
      <w:r w:rsidRPr="00D10010">
        <w:rPr>
          <w:rFonts w:ascii="Cambria" w:hAnsi="Cambria"/>
          <w:noProof/>
          <w:sz w:val="22"/>
        </w:rPr>
        <w:t xml:space="preserve">, </w:t>
      </w:r>
      <w:r w:rsidRPr="00D10010">
        <w:rPr>
          <w:rFonts w:ascii="Cambria" w:hAnsi="Cambria"/>
          <w:i/>
          <w:iCs/>
          <w:noProof/>
          <w:sz w:val="22"/>
        </w:rPr>
        <w:t>10</w:t>
      </w:r>
      <w:r w:rsidRPr="00D10010">
        <w:rPr>
          <w:rFonts w:ascii="Cambria" w:hAnsi="Cambria"/>
          <w:noProof/>
          <w:sz w:val="22"/>
        </w:rPr>
        <w:t>. https://doi.org/10.1177/23328584241258741</w:t>
      </w:r>
    </w:p>
    <w:p w14:paraId="7330642F"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Herawati, A. A., Yusuf, S., Ilfiandra, I., Taufik, A., &amp; Ya Habibi, A. S. (2024). Exploring the Role of Artificial Intelligence in Education, Students Preferences and Perceptions. </w:t>
      </w:r>
      <w:r w:rsidRPr="00D10010">
        <w:rPr>
          <w:rFonts w:ascii="Cambria" w:hAnsi="Cambria"/>
          <w:i/>
          <w:iCs/>
          <w:noProof/>
          <w:sz w:val="22"/>
        </w:rPr>
        <w:t>AL-ISHLAH: Jurnal Pendidikan</w:t>
      </w:r>
      <w:r w:rsidRPr="00D10010">
        <w:rPr>
          <w:rFonts w:ascii="Cambria" w:hAnsi="Cambria"/>
          <w:noProof/>
          <w:sz w:val="22"/>
        </w:rPr>
        <w:t xml:space="preserve">, </w:t>
      </w:r>
      <w:r w:rsidRPr="00D10010">
        <w:rPr>
          <w:rFonts w:ascii="Cambria" w:hAnsi="Cambria"/>
          <w:i/>
          <w:iCs/>
          <w:noProof/>
          <w:sz w:val="22"/>
        </w:rPr>
        <w:t>16</w:t>
      </w:r>
      <w:r w:rsidRPr="00D10010">
        <w:rPr>
          <w:rFonts w:ascii="Cambria" w:hAnsi="Cambria"/>
          <w:noProof/>
          <w:sz w:val="22"/>
        </w:rPr>
        <w:t>(2), 1029–1040. https://doi.org/10.35445/alishlah.v16i2.4784</w:t>
      </w:r>
    </w:p>
    <w:p w14:paraId="22805E88"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Ifenthaler, D., Majumdar, R., Gorissen, P., Judge, M., Mishra, S., Raffaghelli, J., &amp; Shimada, A. (2024). Artificial Intelligence in Education: Implications for Policymakers, Researchers, and Practitioners. </w:t>
      </w:r>
      <w:r w:rsidRPr="00D10010">
        <w:rPr>
          <w:rFonts w:ascii="Cambria" w:hAnsi="Cambria"/>
          <w:i/>
          <w:iCs/>
          <w:noProof/>
          <w:sz w:val="22"/>
        </w:rPr>
        <w:t>Technology, Knowledge and Learning</w:t>
      </w:r>
      <w:r w:rsidRPr="00D10010">
        <w:rPr>
          <w:rFonts w:ascii="Cambria" w:hAnsi="Cambria"/>
          <w:noProof/>
          <w:sz w:val="22"/>
        </w:rPr>
        <w:t xml:space="preserve">, </w:t>
      </w:r>
      <w:r w:rsidRPr="00D10010">
        <w:rPr>
          <w:rFonts w:ascii="Cambria" w:hAnsi="Cambria"/>
          <w:i/>
          <w:iCs/>
          <w:noProof/>
          <w:sz w:val="22"/>
        </w:rPr>
        <w:t>29</w:t>
      </w:r>
      <w:r w:rsidRPr="00D10010">
        <w:rPr>
          <w:rFonts w:ascii="Cambria" w:hAnsi="Cambria"/>
          <w:noProof/>
          <w:sz w:val="22"/>
        </w:rPr>
        <w:t>(4), 1693–1710. https://doi.org/10.1007/s10758-024-09747-0</w:t>
      </w:r>
    </w:p>
    <w:p w14:paraId="31B739D6"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Kamalov, F., Santandreu Calonge, D., &amp; Gurrib, I. (2023). New Era of Artificial Intelligence in Education: Towards a Sustainable Multifaceted Revolution. </w:t>
      </w:r>
      <w:r w:rsidRPr="00D10010">
        <w:rPr>
          <w:rFonts w:ascii="Cambria" w:hAnsi="Cambria"/>
          <w:i/>
          <w:iCs/>
          <w:noProof/>
          <w:sz w:val="22"/>
        </w:rPr>
        <w:t>Sustainability (Switzerland)</w:t>
      </w:r>
      <w:r w:rsidRPr="00D10010">
        <w:rPr>
          <w:rFonts w:ascii="Cambria" w:hAnsi="Cambria"/>
          <w:noProof/>
          <w:sz w:val="22"/>
        </w:rPr>
        <w:t xml:space="preserve">, </w:t>
      </w:r>
      <w:r w:rsidRPr="00D10010">
        <w:rPr>
          <w:rFonts w:ascii="Cambria" w:hAnsi="Cambria"/>
          <w:i/>
          <w:iCs/>
          <w:noProof/>
          <w:sz w:val="22"/>
        </w:rPr>
        <w:t>15</w:t>
      </w:r>
      <w:r w:rsidRPr="00D10010">
        <w:rPr>
          <w:rFonts w:ascii="Cambria" w:hAnsi="Cambria"/>
          <w:noProof/>
          <w:sz w:val="22"/>
        </w:rPr>
        <w:t>(16), 1–27. https://doi.org/10.3390/su151612451</w:t>
      </w:r>
    </w:p>
    <w:p w14:paraId="5D328395"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Khater, A. S., Zaaqoq, A. A., Wahdan, M. M., &amp; Ashry, S. (2023). Knowledge and Attitude of Ain Shams University Medical Students towards Artificial Intelligence and its Application in Medical Education and Practice. </w:t>
      </w:r>
      <w:r w:rsidRPr="00D10010">
        <w:rPr>
          <w:rFonts w:ascii="Cambria" w:hAnsi="Cambria"/>
          <w:i/>
          <w:iCs/>
          <w:noProof/>
          <w:sz w:val="22"/>
        </w:rPr>
        <w:t>Educational Research and Innovation Journal</w:t>
      </w:r>
      <w:r w:rsidRPr="00D10010">
        <w:rPr>
          <w:rFonts w:ascii="Cambria" w:hAnsi="Cambria"/>
          <w:noProof/>
          <w:sz w:val="22"/>
        </w:rPr>
        <w:t xml:space="preserve">, </w:t>
      </w:r>
      <w:r w:rsidRPr="00D10010">
        <w:rPr>
          <w:rFonts w:ascii="Cambria" w:hAnsi="Cambria"/>
          <w:i/>
          <w:iCs/>
          <w:noProof/>
          <w:sz w:val="22"/>
        </w:rPr>
        <w:t>3</w:t>
      </w:r>
      <w:r w:rsidRPr="00D10010">
        <w:rPr>
          <w:rFonts w:ascii="Cambria" w:hAnsi="Cambria"/>
          <w:noProof/>
          <w:sz w:val="22"/>
        </w:rPr>
        <w:t>(10), 29–42. https://doi.org/10.21608/erji.2023.306718</w:t>
      </w:r>
    </w:p>
    <w:p w14:paraId="75EED7D9"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Khosravi, H., Sadiq, S., &amp; Amer-Yahia, S. (2023). Data management of AI-powered education technologies: Challenges and opportunities. </w:t>
      </w:r>
      <w:r w:rsidRPr="00D10010">
        <w:rPr>
          <w:rFonts w:ascii="Cambria" w:hAnsi="Cambria"/>
          <w:i/>
          <w:iCs/>
          <w:noProof/>
          <w:sz w:val="22"/>
        </w:rPr>
        <w:t>Journal of Learning Letters</w:t>
      </w:r>
      <w:r w:rsidRPr="00D10010">
        <w:rPr>
          <w:rFonts w:ascii="Cambria" w:hAnsi="Cambria"/>
          <w:noProof/>
          <w:sz w:val="22"/>
        </w:rPr>
        <w:t xml:space="preserve">, </w:t>
      </w:r>
      <w:r w:rsidRPr="00D10010">
        <w:rPr>
          <w:rFonts w:ascii="Cambria" w:hAnsi="Cambria"/>
          <w:i/>
          <w:iCs/>
          <w:noProof/>
          <w:sz w:val="22"/>
        </w:rPr>
        <w:t>1</w:t>
      </w:r>
      <w:r w:rsidRPr="00D10010">
        <w:rPr>
          <w:rFonts w:ascii="Cambria" w:hAnsi="Cambria"/>
          <w:noProof/>
          <w:sz w:val="22"/>
        </w:rPr>
        <w:t>, 1–11. https://doi.org/10.59453/xlud7002</w:t>
      </w:r>
    </w:p>
    <w:p w14:paraId="66DB8F2C"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Kim, F., Williams, L. A., Johnston, E. L., &amp; Fan, Y. (2024). Bias intervention messaging in student evaluations of teaching: The role of gendered perceptions of bias. </w:t>
      </w:r>
      <w:r w:rsidRPr="00D10010">
        <w:rPr>
          <w:rFonts w:ascii="Cambria" w:hAnsi="Cambria"/>
          <w:i/>
          <w:iCs/>
          <w:noProof/>
          <w:sz w:val="22"/>
        </w:rPr>
        <w:t>Heliyon</w:t>
      </w:r>
      <w:r w:rsidRPr="00D10010">
        <w:rPr>
          <w:rFonts w:ascii="Cambria" w:hAnsi="Cambria"/>
          <w:noProof/>
          <w:sz w:val="22"/>
        </w:rPr>
        <w:t xml:space="preserve">, </w:t>
      </w:r>
      <w:r w:rsidRPr="00D10010">
        <w:rPr>
          <w:rFonts w:ascii="Cambria" w:hAnsi="Cambria"/>
          <w:i/>
          <w:iCs/>
          <w:noProof/>
          <w:sz w:val="22"/>
        </w:rPr>
        <w:t>10</w:t>
      </w:r>
      <w:r w:rsidRPr="00D10010">
        <w:rPr>
          <w:rFonts w:ascii="Cambria" w:hAnsi="Cambria"/>
          <w:noProof/>
          <w:sz w:val="22"/>
        </w:rPr>
        <w:t>(17), e37140. https://doi.org/10.1016/j.heliyon.2024.e37140</w:t>
      </w:r>
    </w:p>
    <w:p w14:paraId="10108831"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Lee, J., Hicke, Y., Yu, R., Brooks, C., &amp; Kizilcec, R. F. (2024). The life cycle of large language models in education: A framework for understanding sources of bias. </w:t>
      </w:r>
      <w:r w:rsidRPr="00D10010">
        <w:rPr>
          <w:rFonts w:ascii="Cambria" w:hAnsi="Cambria"/>
          <w:i/>
          <w:iCs/>
          <w:noProof/>
          <w:sz w:val="22"/>
        </w:rPr>
        <w:t>British Journal of Educational Technology</w:t>
      </w:r>
      <w:r w:rsidRPr="00D10010">
        <w:rPr>
          <w:rFonts w:ascii="Cambria" w:hAnsi="Cambria"/>
          <w:noProof/>
          <w:sz w:val="22"/>
        </w:rPr>
        <w:t xml:space="preserve">, </w:t>
      </w:r>
      <w:r w:rsidRPr="00D10010">
        <w:rPr>
          <w:rFonts w:ascii="Cambria" w:hAnsi="Cambria"/>
          <w:i/>
          <w:iCs/>
          <w:noProof/>
          <w:sz w:val="22"/>
        </w:rPr>
        <w:t>55</w:t>
      </w:r>
      <w:r w:rsidRPr="00D10010">
        <w:rPr>
          <w:rFonts w:ascii="Cambria" w:hAnsi="Cambria"/>
          <w:noProof/>
          <w:sz w:val="22"/>
        </w:rPr>
        <w:t>(5), 1982–2002. https://doi.org/10.1111/bjet.13505</w:t>
      </w:r>
    </w:p>
    <w:p w14:paraId="65458748"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Luckin, R., Cukurova, M., Kent, C., &amp; du Boulay, B. (2022). Empowering educators to be AI-ready. </w:t>
      </w:r>
      <w:r w:rsidRPr="00D10010">
        <w:rPr>
          <w:rFonts w:ascii="Cambria" w:hAnsi="Cambria"/>
          <w:i/>
          <w:iCs/>
          <w:noProof/>
          <w:sz w:val="22"/>
        </w:rPr>
        <w:t>Computers and Education: Artificial Intelligence</w:t>
      </w:r>
      <w:r w:rsidRPr="00D10010">
        <w:rPr>
          <w:rFonts w:ascii="Cambria" w:hAnsi="Cambria"/>
          <w:noProof/>
          <w:sz w:val="22"/>
        </w:rPr>
        <w:t xml:space="preserve">, </w:t>
      </w:r>
      <w:r w:rsidRPr="00D10010">
        <w:rPr>
          <w:rFonts w:ascii="Cambria" w:hAnsi="Cambria"/>
          <w:i/>
          <w:iCs/>
          <w:noProof/>
          <w:sz w:val="22"/>
        </w:rPr>
        <w:t>3</w:t>
      </w:r>
      <w:r w:rsidRPr="00D10010">
        <w:rPr>
          <w:rFonts w:ascii="Cambria" w:hAnsi="Cambria"/>
          <w:noProof/>
          <w:sz w:val="22"/>
        </w:rPr>
        <w:t>, 100076. https://doi.org/10.1016/j.caeai.2022.100076</w:t>
      </w:r>
    </w:p>
    <w:p w14:paraId="3763B9F0"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Opesemowo, O. A. G., &amp; Adekomaya, V. (2024). Harnessing Artificial Intelligence for Advancing </w:t>
      </w:r>
      <w:r w:rsidRPr="00D10010">
        <w:rPr>
          <w:rFonts w:ascii="Cambria" w:hAnsi="Cambria"/>
          <w:noProof/>
          <w:sz w:val="22"/>
        </w:rPr>
        <w:lastRenderedPageBreak/>
        <w:t xml:space="preserve">Sustainable Development Goals in South Africa’s Higher Education System: A Qualitative Study. </w:t>
      </w:r>
      <w:r w:rsidRPr="00D10010">
        <w:rPr>
          <w:rFonts w:ascii="Cambria" w:hAnsi="Cambria"/>
          <w:i/>
          <w:iCs/>
          <w:noProof/>
          <w:sz w:val="22"/>
        </w:rPr>
        <w:t>International Journal of Learning, Teaching and Educational Research</w:t>
      </w:r>
      <w:r w:rsidRPr="00D10010">
        <w:rPr>
          <w:rFonts w:ascii="Cambria" w:hAnsi="Cambria"/>
          <w:noProof/>
          <w:sz w:val="22"/>
        </w:rPr>
        <w:t xml:space="preserve">, </w:t>
      </w:r>
      <w:r w:rsidRPr="00D10010">
        <w:rPr>
          <w:rFonts w:ascii="Cambria" w:hAnsi="Cambria"/>
          <w:i/>
          <w:iCs/>
          <w:noProof/>
          <w:sz w:val="22"/>
        </w:rPr>
        <w:t>23</w:t>
      </w:r>
      <w:r w:rsidRPr="00D10010">
        <w:rPr>
          <w:rFonts w:ascii="Cambria" w:hAnsi="Cambria"/>
          <w:noProof/>
          <w:sz w:val="22"/>
        </w:rPr>
        <w:t>(3), 67–86. https://doi.org/10.26803/ijlter.23.3.4</w:t>
      </w:r>
    </w:p>
    <w:p w14:paraId="07E0EB6E"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Owan, V. J., Abang, K. B., Idika, D. O., Etta, E. O., &amp; Bassey, B. A. (2023). Exploring the potential of artificial intelligence tools in educational measurement and assessment. </w:t>
      </w:r>
      <w:r w:rsidRPr="00D10010">
        <w:rPr>
          <w:rFonts w:ascii="Cambria" w:hAnsi="Cambria"/>
          <w:i/>
          <w:iCs/>
          <w:noProof/>
          <w:sz w:val="22"/>
        </w:rPr>
        <w:t>Eurasia Journal of Mathematics, Science and Technology Education</w:t>
      </w:r>
      <w:r w:rsidRPr="00D10010">
        <w:rPr>
          <w:rFonts w:ascii="Cambria" w:hAnsi="Cambria"/>
          <w:noProof/>
          <w:sz w:val="22"/>
        </w:rPr>
        <w:t xml:space="preserve">, </w:t>
      </w:r>
      <w:r w:rsidRPr="00D10010">
        <w:rPr>
          <w:rFonts w:ascii="Cambria" w:hAnsi="Cambria"/>
          <w:i/>
          <w:iCs/>
          <w:noProof/>
          <w:sz w:val="22"/>
        </w:rPr>
        <w:t>19</w:t>
      </w:r>
      <w:r w:rsidRPr="00D10010">
        <w:rPr>
          <w:rFonts w:ascii="Cambria" w:hAnsi="Cambria"/>
          <w:noProof/>
          <w:sz w:val="22"/>
        </w:rPr>
        <w:t>(8). https://doi.org/10.29333/ejmste/13428</w:t>
      </w:r>
    </w:p>
    <w:p w14:paraId="5AB49A20"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Pham, N., Pham Ngoc, H., &amp; Nguyen-Duc, A. (2025). Fairness for machine learning software in education: A systematic mapping study. </w:t>
      </w:r>
      <w:r w:rsidRPr="00D10010">
        <w:rPr>
          <w:rFonts w:ascii="Cambria" w:hAnsi="Cambria"/>
          <w:i/>
          <w:iCs/>
          <w:noProof/>
          <w:sz w:val="22"/>
        </w:rPr>
        <w:t>Journal of Systems and Software</w:t>
      </w:r>
      <w:r w:rsidRPr="00D10010">
        <w:rPr>
          <w:rFonts w:ascii="Cambria" w:hAnsi="Cambria"/>
          <w:noProof/>
          <w:sz w:val="22"/>
        </w:rPr>
        <w:t xml:space="preserve">, </w:t>
      </w:r>
      <w:r w:rsidRPr="00D10010">
        <w:rPr>
          <w:rFonts w:ascii="Cambria" w:hAnsi="Cambria"/>
          <w:i/>
          <w:iCs/>
          <w:noProof/>
          <w:sz w:val="22"/>
        </w:rPr>
        <w:t>219</w:t>
      </w:r>
      <w:r w:rsidRPr="00D10010">
        <w:rPr>
          <w:rFonts w:ascii="Cambria" w:hAnsi="Cambria"/>
          <w:noProof/>
          <w:sz w:val="22"/>
        </w:rPr>
        <w:t>(January 2024), 112244. https://doi.org/10.1016/j.jss.2024.112244</w:t>
      </w:r>
    </w:p>
    <w:p w14:paraId="5D899C2F"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Pranckutė, R. (2021). Scopus and Web of Science stands out for systematic reviews, offering comprehensive coverage across disciplines, including journals, conferences, and patents. </w:t>
      </w:r>
      <w:r w:rsidRPr="00D10010">
        <w:rPr>
          <w:rFonts w:ascii="Cambria" w:hAnsi="Cambria"/>
          <w:i/>
          <w:iCs/>
          <w:noProof/>
          <w:sz w:val="22"/>
        </w:rPr>
        <w:t>Publications</w:t>
      </w:r>
      <w:r w:rsidRPr="00D10010">
        <w:rPr>
          <w:rFonts w:ascii="Cambria" w:hAnsi="Cambria"/>
          <w:noProof/>
          <w:sz w:val="22"/>
        </w:rPr>
        <w:t xml:space="preserve">, </w:t>
      </w:r>
      <w:r w:rsidRPr="00D10010">
        <w:rPr>
          <w:rFonts w:ascii="Cambria" w:hAnsi="Cambria"/>
          <w:i/>
          <w:iCs/>
          <w:noProof/>
          <w:sz w:val="22"/>
        </w:rPr>
        <w:t>9</w:t>
      </w:r>
      <w:r w:rsidRPr="00D10010">
        <w:rPr>
          <w:rFonts w:ascii="Cambria" w:hAnsi="Cambria"/>
          <w:noProof/>
          <w:sz w:val="22"/>
        </w:rPr>
        <w:t>(1), 1–59.</w:t>
      </w:r>
    </w:p>
    <w:p w14:paraId="033999C2"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Ramadhan, M. R. (2024). </w:t>
      </w:r>
      <w:r w:rsidRPr="00D10010">
        <w:rPr>
          <w:rFonts w:ascii="Cambria" w:hAnsi="Cambria"/>
          <w:i/>
          <w:iCs/>
          <w:noProof/>
          <w:sz w:val="22"/>
        </w:rPr>
        <w:t>Pengaruh Konsep Keadilan Dalam Al Qur ’ an Dan Relevansinya Dalam Hukum Manusia</w:t>
      </w:r>
      <w:r w:rsidRPr="00D10010">
        <w:rPr>
          <w:rFonts w:ascii="Cambria" w:hAnsi="Cambria"/>
          <w:noProof/>
          <w:sz w:val="22"/>
        </w:rPr>
        <w:t>.</w:t>
      </w:r>
    </w:p>
    <w:p w14:paraId="53CC636B"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Sohrabi, C., Franchi, T., Mathew, G., Kerwan, A., Nicola, M., Griffin, M., Agha, M., &amp; Agha, R. (2021). PRISMA 2020 statement: What’s new and the importance of reporting guidelines. </w:t>
      </w:r>
      <w:r w:rsidRPr="00D10010">
        <w:rPr>
          <w:rFonts w:ascii="Cambria" w:hAnsi="Cambria"/>
          <w:i/>
          <w:iCs/>
          <w:noProof/>
          <w:sz w:val="22"/>
        </w:rPr>
        <w:t>International Journal of Surgery</w:t>
      </w:r>
      <w:r w:rsidRPr="00D10010">
        <w:rPr>
          <w:rFonts w:ascii="Cambria" w:hAnsi="Cambria"/>
          <w:noProof/>
          <w:sz w:val="22"/>
        </w:rPr>
        <w:t xml:space="preserve">, </w:t>
      </w:r>
      <w:r w:rsidRPr="00D10010">
        <w:rPr>
          <w:rFonts w:ascii="Cambria" w:hAnsi="Cambria"/>
          <w:i/>
          <w:iCs/>
          <w:noProof/>
          <w:sz w:val="22"/>
        </w:rPr>
        <w:t>88</w:t>
      </w:r>
      <w:r w:rsidRPr="00D10010">
        <w:rPr>
          <w:rFonts w:ascii="Cambria" w:hAnsi="Cambria"/>
          <w:noProof/>
          <w:sz w:val="22"/>
        </w:rPr>
        <w:t>(March), 39–42. https://doi.org/10.1016/j.ijsu.2021.105918</w:t>
      </w:r>
    </w:p>
    <w:p w14:paraId="630EE5B3"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Sudirman, S., Sarjan, M., Rokhmat, J., Hamidi, H., &amp; Fauzi, I. (2022). Penilaian Pendidikan IPA secara Realtime dan Terintegrasi dengan Artificial Intelligence: Perspektif Filsafat. </w:t>
      </w:r>
      <w:r w:rsidRPr="00D10010">
        <w:rPr>
          <w:rFonts w:ascii="Cambria" w:hAnsi="Cambria"/>
          <w:i/>
          <w:iCs/>
          <w:noProof/>
          <w:sz w:val="22"/>
        </w:rPr>
        <w:t>Jurnal Ilmiah Profesi Pendidikan</w:t>
      </w:r>
      <w:r w:rsidRPr="00D10010">
        <w:rPr>
          <w:rFonts w:ascii="Cambria" w:hAnsi="Cambria"/>
          <w:noProof/>
          <w:sz w:val="22"/>
        </w:rPr>
        <w:t xml:space="preserve">, </w:t>
      </w:r>
      <w:r w:rsidRPr="00D10010">
        <w:rPr>
          <w:rFonts w:ascii="Cambria" w:hAnsi="Cambria"/>
          <w:i/>
          <w:iCs/>
          <w:noProof/>
          <w:sz w:val="22"/>
        </w:rPr>
        <w:t>7</w:t>
      </w:r>
      <w:r w:rsidRPr="00D10010">
        <w:rPr>
          <w:rFonts w:ascii="Cambria" w:hAnsi="Cambria"/>
          <w:noProof/>
          <w:sz w:val="22"/>
        </w:rPr>
        <w:t>(4b). https://doi.org/10.29303/jipp.v7i4b.888</w:t>
      </w:r>
    </w:p>
    <w:p w14:paraId="4D8EEF19"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Tri, M. F., &amp; Nataliani, Y. (2021). Analisis Pengaruh Penilaian Asesor terhadap Kinerja Guru Mata Pelajaran dengan k-Means Clustering. </w:t>
      </w:r>
      <w:r w:rsidRPr="00D10010">
        <w:rPr>
          <w:rFonts w:ascii="Cambria" w:hAnsi="Cambria"/>
          <w:i/>
          <w:iCs/>
          <w:noProof/>
          <w:sz w:val="22"/>
        </w:rPr>
        <w:t>Indonesian Journal of Computing and Modeling</w:t>
      </w:r>
      <w:r w:rsidRPr="00D10010">
        <w:rPr>
          <w:rFonts w:ascii="Cambria" w:hAnsi="Cambria"/>
          <w:noProof/>
          <w:sz w:val="22"/>
        </w:rPr>
        <w:t xml:space="preserve">, </w:t>
      </w:r>
      <w:r w:rsidRPr="00D10010">
        <w:rPr>
          <w:rFonts w:ascii="Cambria" w:hAnsi="Cambria"/>
          <w:i/>
          <w:iCs/>
          <w:noProof/>
          <w:sz w:val="22"/>
        </w:rPr>
        <w:t>4</w:t>
      </w:r>
      <w:r w:rsidRPr="00D10010">
        <w:rPr>
          <w:rFonts w:ascii="Cambria" w:hAnsi="Cambria"/>
          <w:noProof/>
          <w:sz w:val="22"/>
        </w:rPr>
        <w:t>(1), 14–22. https://doi.org/10.24246/icm.v4i1.5063</w:t>
      </w:r>
    </w:p>
    <w:p w14:paraId="7F778192"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Ullah, R., Asghar, I., &amp; Griffiths, M. G. (2023). An Integrated Methodology for Bibliometric Analysis: A Case Study of Internet of Things in Healthcare Applications. </w:t>
      </w:r>
      <w:r w:rsidRPr="00D10010">
        <w:rPr>
          <w:rFonts w:ascii="Cambria" w:hAnsi="Cambria"/>
          <w:i/>
          <w:iCs/>
          <w:noProof/>
          <w:sz w:val="22"/>
        </w:rPr>
        <w:t>Sensors</w:t>
      </w:r>
      <w:r w:rsidRPr="00D10010">
        <w:rPr>
          <w:rFonts w:ascii="Cambria" w:hAnsi="Cambria"/>
          <w:noProof/>
          <w:sz w:val="22"/>
        </w:rPr>
        <w:t xml:space="preserve">, </w:t>
      </w:r>
      <w:r w:rsidRPr="00D10010">
        <w:rPr>
          <w:rFonts w:ascii="Cambria" w:hAnsi="Cambria"/>
          <w:i/>
          <w:iCs/>
          <w:noProof/>
          <w:sz w:val="22"/>
        </w:rPr>
        <w:t>23</w:t>
      </w:r>
      <w:r w:rsidRPr="00D10010">
        <w:rPr>
          <w:rFonts w:ascii="Cambria" w:hAnsi="Cambria"/>
          <w:noProof/>
          <w:sz w:val="22"/>
        </w:rPr>
        <w:t>(1). https://doi.org/10.3390/s23010067</w:t>
      </w:r>
    </w:p>
    <w:p w14:paraId="26B2C908"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Vieriu, A. M., &amp; Petrea, G. (2025). The Impact of Artificial Intelligence (AI) on Students’ Academic Development. </w:t>
      </w:r>
      <w:r w:rsidRPr="00D10010">
        <w:rPr>
          <w:rFonts w:ascii="Cambria" w:hAnsi="Cambria"/>
          <w:i/>
          <w:iCs/>
          <w:noProof/>
          <w:sz w:val="22"/>
        </w:rPr>
        <w:t>Education Sciences</w:t>
      </w:r>
      <w:r w:rsidRPr="00D10010">
        <w:rPr>
          <w:rFonts w:ascii="Cambria" w:hAnsi="Cambria"/>
          <w:noProof/>
          <w:sz w:val="22"/>
        </w:rPr>
        <w:t xml:space="preserve">, </w:t>
      </w:r>
      <w:r w:rsidRPr="00D10010">
        <w:rPr>
          <w:rFonts w:ascii="Cambria" w:hAnsi="Cambria"/>
          <w:i/>
          <w:iCs/>
          <w:noProof/>
          <w:sz w:val="22"/>
        </w:rPr>
        <w:t>15</w:t>
      </w:r>
      <w:r w:rsidRPr="00D10010">
        <w:rPr>
          <w:rFonts w:ascii="Cambria" w:hAnsi="Cambria"/>
          <w:noProof/>
          <w:sz w:val="22"/>
        </w:rPr>
        <w:t>(3), 1–12. https://doi.org/10.3390/educsci15030343</w:t>
      </w:r>
    </w:p>
    <w:p w14:paraId="33D70FA6"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Yakir, J., Valentin, O., &amp; Rosario, T. (2023). Bibliometric Analysis of Youtube Platform Research Trends Using the Vosviewer Application. </w:t>
      </w:r>
      <w:r w:rsidRPr="00D10010">
        <w:rPr>
          <w:rFonts w:ascii="Cambria" w:hAnsi="Cambria"/>
          <w:i/>
          <w:iCs/>
          <w:noProof/>
          <w:sz w:val="22"/>
        </w:rPr>
        <w:t>Journal Emerging Technologies in Education</w:t>
      </w:r>
      <w:r w:rsidRPr="00D10010">
        <w:rPr>
          <w:rFonts w:ascii="Cambria" w:hAnsi="Cambria"/>
          <w:noProof/>
          <w:sz w:val="22"/>
        </w:rPr>
        <w:t xml:space="preserve">, </w:t>
      </w:r>
      <w:r w:rsidRPr="00D10010">
        <w:rPr>
          <w:rFonts w:ascii="Cambria" w:hAnsi="Cambria"/>
          <w:i/>
          <w:iCs/>
          <w:noProof/>
          <w:sz w:val="22"/>
        </w:rPr>
        <w:t>1</w:t>
      </w:r>
      <w:r w:rsidRPr="00D10010">
        <w:rPr>
          <w:rFonts w:ascii="Cambria" w:hAnsi="Cambria"/>
          <w:noProof/>
          <w:sz w:val="22"/>
        </w:rPr>
        <w:t>(1), 69–81. https://doi.org/10.55849/jete.v1i1.175</w:t>
      </w:r>
    </w:p>
    <w:p w14:paraId="5C8021AE" w14:textId="77777777" w:rsidR="00D10010" w:rsidRPr="00D10010" w:rsidRDefault="00D10010" w:rsidP="00D10010">
      <w:pPr>
        <w:widowControl w:val="0"/>
        <w:autoSpaceDE w:val="0"/>
        <w:autoSpaceDN w:val="0"/>
        <w:adjustRightInd w:val="0"/>
        <w:ind w:left="480" w:hanging="480"/>
        <w:rPr>
          <w:rFonts w:ascii="Cambria" w:hAnsi="Cambria"/>
          <w:noProof/>
          <w:sz w:val="22"/>
        </w:rPr>
      </w:pPr>
      <w:r w:rsidRPr="00D10010">
        <w:rPr>
          <w:rFonts w:ascii="Cambria" w:hAnsi="Cambria"/>
          <w:noProof/>
          <w:sz w:val="22"/>
        </w:rPr>
        <w:t xml:space="preserve">Zong, R., Zhang, Y., Stinar, F., Shang, L., Zeng, H., Bosch, N., &amp; Wang, D. (2023). A Crowd–AI Collaborative Approach to Address Demographic Bias for Student Performance Prediction in Online Education. </w:t>
      </w:r>
      <w:r w:rsidRPr="00D10010">
        <w:rPr>
          <w:rFonts w:ascii="Cambria" w:hAnsi="Cambria"/>
          <w:i/>
          <w:iCs/>
          <w:noProof/>
          <w:sz w:val="22"/>
        </w:rPr>
        <w:t>Proceedings of the AAAI Conference on Human Computation and Crowdsourcing</w:t>
      </w:r>
      <w:r w:rsidRPr="00D10010">
        <w:rPr>
          <w:rFonts w:ascii="Cambria" w:hAnsi="Cambria"/>
          <w:noProof/>
          <w:sz w:val="22"/>
        </w:rPr>
        <w:t xml:space="preserve">, </w:t>
      </w:r>
      <w:r w:rsidRPr="00D10010">
        <w:rPr>
          <w:rFonts w:ascii="Cambria" w:hAnsi="Cambria"/>
          <w:i/>
          <w:iCs/>
          <w:noProof/>
          <w:sz w:val="22"/>
        </w:rPr>
        <w:t>11</w:t>
      </w:r>
      <w:r w:rsidRPr="00D10010">
        <w:rPr>
          <w:rFonts w:ascii="Cambria" w:hAnsi="Cambria"/>
          <w:noProof/>
          <w:sz w:val="22"/>
        </w:rPr>
        <w:t>(1), 198–210. https://doi.org/10.1609/hcomp.v11i1.27560</w:t>
      </w:r>
    </w:p>
    <w:p w14:paraId="2A2AE655" w14:textId="6744AA2C" w:rsidR="00B604EC" w:rsidRDefault="00B604EC" w:rsidP="009122F6">
      <w:pPr>
        <w:widowControl w:val="0"/>
        <w:autoSpaceDE w:val="0"/>
        <w:autoSpaceDN w:val="0"/>
        <w:adjustRightInd w:val="0"/>
        <w:ind w:left="480" w:hanging="480"/>
        <w:jc w:val="both"/>
        <w:rPr>
          <w:rFonts w:ascii="Cambria" w:hAnsi="Cambria" w:cs="Tahoma"/>
          <w:noProof/>
          <w:sz w:val="22"/>
        </w:rPr>
      </w:pPr>
      <w:r>
        <w:rPr>
          <w:rFonts w:ascii="Cambria" w:hAnsi="Cambria" w:cs="Tahoma"/>
          <w:noProof/>
          <w:sz w:val="22"/>
        </w:rPr>
        <w:fldChar w:fldCharType="end"/>
      </w:r>
    </w:p>
    <w:p w14:paraId="21798C6B" w14:textId="77777777" w:rsidR="00B604EC" w:rsidRDefault="00B604EC" w:rsidP="009122F6">
      <w:pPr>
        <w:widowControl w:val="0"/>
        <w:autoSpaceDE w:val="0"/>
        <w:autoSpaceDN w:val="0"/>
        <w:adjustRightInd w:val="0"/>
        <w:ind w:left="480" w:hanging="480"/>
        <w:jc w:val="both"/>
        <w:rPr>
          <w:rFonts w:ascii="Cambria" w:hAnsi="Cambria" w:cs="Tahoma"/>
          <w:noProof/>
          <w:sz w:val="22"/>
        </w:rPr>
      </w:pPr>
    </w:p>
    <w:p w14:paraId="6122852B" w14:textId="77777777" w:rsidR="00A5426A" w:rsidRPr="006654C5" w:rsidRDefault="00A5426A" w:rsidP="00755763">
      <w:pPr>
        <w:jc w:val="both"/>
        <w:rPr>
          <w:rFonts w:ascii="Cambria" w:hAnsi="Cambria"/>
          <w:b/>
          <w:sz w:val="22"/>
          <w:szCs w:val="22"/>
        </w:rPr>
      </w:pPr>
    </w:p>
    <w:p w14:paraId="6EB034FE" w14:textId="09D165B1" w:rsidR="00F261B9" w:rsidRPr="006654C5" w:rsidRDefault="00F261B9" w:rsidP="00E00FD9">
      <w:pPr>
        <w:widowControl w:val="0"/>
        <w:autoSpaceDE w:val="0"/>
        <w:autoSpaceDN w:val="0"/>
        <w:adjustRightInd w:val="0"/>
        <w:ind w:left="640" w:hanging="640"/>
        <w:rPr>
          <w:rFonts w:ascii="Cambria" w:hAnsi="Cambria"/>
          <w:b/>
          <w:sz w:val="22"/>
          <w:szCs w:val="22"/>
        </w:rPr>
      </w:pPr>
    </w:p>
    <w:sectPr w:rsidR="00F261B9" w:rsidRPr="006654C5" w:rsidSect="006654C5">
      <w:headerReference w:type="even" r:id="rId30"/>
      <w:headerReference w:type="default" r:id="rId31"/>
      <w:footerReference w:type="even" r:id="rId32"/>
      <w:footerReference w:type="default" r:id="rId33"/>
      <w:headerReference w:type="first" r:id="rId34"/>
      <w:footnotePr>
        <w:pos w:val="beneathText"/>
      </w:footnotePr>
      <w:type w:val="continuous"/>
      <w:pgSz w:w="11905" w:h="16837"/>
      <w:pgMar w:top="1418" w:right="1134" w:bottom="1134" w:left="1418" w:header="567"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66AC" w14:textId="77777777" w:rsidR="001E155B" w:rsidRDefault="001E155B" w:rsidP="004E422B">
      <w:r>
        <w:separator/>
      </w:r>
    </w:p>
  </w:endnote>
  <w:endnote w:type="continuationSeparator" w:id="0">
    <w:p w14:paraId="3F2B7AFC" w14:textId="77777777" w:rsidR="001E155B" w:rsidRDefault="001E155B"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16720"/>
      <w:docPartObj>
        <w:docPartGallery w:val="Page Numbers (Bottom of Page)"/>
        <w:docPartUnique/>
      </w:docPartObj>
    </w:sdtPr>
    <w:sdtEndPr>
      <w:rPr>
        <w:rFonts w:ascii="Cambria" w:hAnsi="Cambria"/>
        <w:color w:val="7F7F7F" w:themeColor="background1" w:themeShade="7F"/>
        <w:spacing w:val="60"/>
      </w:rPr>
    </w:sdtEndPr>
    <w:sdtContent>
      <w:p w14:paraId="1ACB23EE" w14:textId="50A7BC17" w:rsidR="00557090" w:rsidRPr="00A5426A" w:rsidRDefault="007E0F5C" w:rsidP="006654C5">
        <w:pPr>
          <w:pStyle w:val="Footer"/>
          <w:pBdr>
            <w:top w:val="single" w:sz="4" w:space="1" w:color="D9D9D9" w:themeColor="background1" w:themeShade="D9"/>
          </w:pBdr>
          <w:rPr>
            <w:rFonts w:ascii="Cambria" w:hAnsi="Cambria"/>
            <w:b/>
            <w:bCs/>
          </w:rPr>
        </w:pPr>
        <w:r w:rsidRPr="00A5426A">
          <w:rPr>
            <w:rFonts w:ascii="Cambria" w:hAnsi="Cambria"/>
            <w:sz w:val="20"/>
            <w:szCs w:val="20"/>
          </w:rPr>
          <w:fldChar w:fldCharType="begin"/>
        </w:r>
        <w:r w:rsidRPr="00A5426A">
          <w:rPr>
            <w:rFonts w:ascii="Cambria" w:hAnsi="Cambria"/>
            <w:sz w:val="20"/>
            <w:szCs w:val="20"/>
          </w:rPr>
          <w:instrText xml:space="preserve"> PAGE   \* MERGEFORMAT </w:instrText>
        </w:r>
        <w:r w:rsidRPr="00A5426A">
          <w:rPr>
            <w:rFonts w:ascii="Cambria" w:hAnsi="Cambria"/>
            <w:sz w:val="20"/>
            <w:szCs w:val="20"/>
          </w:rPr>
          <w:fldChar w:fldCharType="separate"/>
        </w:r>
        <w:r w:rsidR="00A5426A" w:rsidRPr="00A5426A">
          <w:rPr>
            <w:rFonts w:ascii="Cambria" w:hAnsi="Cambria"/>
            <w:b/>
            <w:bCs/>
            <w:noProof/>
            <w:sz w:val="20"/>
            <w:szCs w:val="20"/>
          </w:rPr>
          <w:t>2</w:t>
        </w:r>
        <w:r w:rsidRPr="00A5426A">
          <w:rPr>
            <w:rFonts w:ascii="Cambria" w:hAnsi="Cambria"/>
            <w:b/>
            <w:bCs/>
            <w:noProof/>
            <w:sz w:val="20"/>
            <w:szCs w:val="20"/>
          </w:rPr>
          <w:fldChar w:fldCharType="end"/>
        </w:r>
        <w:r w:rsidRPr="00A5426A">
          <w:rPr>
            <w:rFonts w:ascii="Cambria" w:hAnsi="Cambria"/>
            <w:b/>
            <w:bCs/>
            <w:sz w:val="20"/>
            <w:szCs w:val="20"/>
          </w:rPr>
          <w:t xml:space="preserve"> | </w:t>
        </w:r>
        <w:r w:rsidR="00874BB2" w:rsidRPr="00A5426A">
          <w:rPr>
            <w:rFonts w:ascii="Cambria" w:hAnsi="Cambria"/>
            <w:noProof/>
            <w:color w:val="000000"/>
            <w:sz w:val="20"/>
            <w:szCs w:val="20"/>
          </w:rPr>
          <w:t>Online Learning in Educational Research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0DF0" w14:textId="1DAEBC45" w:rsidR="00557090" w:rsidRPr="00E04E38" w:rsidRDefault="00E04E38" w:rsidP="00E04E38">
    <w:pPr>
      <w:pStyle w:val="Footer"/>
      <w:pBdr>
        <w:top w:val="single" w:sz="4" w:space="1" w:color="D9D9D9"/>
      </w:pBdr>
      <w:tabs>
        <w:tab w:val="clear" w:pos="9360"/>
        <w:tab w:val="left" w:pos="5595"/>
        <w:tab w:val="right" w:pos="9353"/>
      </w:tabs>
      <w:rPr>
        <w:rFonts w:ascii="Cambria" w:hAnsi="Cambria"/>
        <w:b/>
        <w:bCs/>
        <w:sz w:val="20"/>
        <w:szCs w:val="20"/>
        <w:lang w:val="en-US"/>
      </w:rPr>
    </w:pPr>
    <w:r>
      <w:rPr>
        <w:noProof/>
        <w:color w:val="000000"/>
        <w:sz w:val="20"/>
        <w:szCs w:val="20"/>
      </w:rPr>
      <w:tab/>
    </w:r>
    <w:r>
      <w:rPr>
        <w:noProof/>
        <w:color w:val="000000"/>
        <w:sz w:val="20"/>
        <w:szCs w:val="20"/>
      </w:rPr>
      <w:tab/>
    </w:r>
    <w:r>
      <w:rPr>
        <w:noProof/>
        <w:color w:val="000000"/>
        <w:sz w:val="20"/>
        <w:szCs w:val="20"/>
      </w:rPr>
      <w:tab/>
    </w:r>
    <w:r w:rsidR="00874BB2" w:rsidRPr="00E04E38">
      <w:rPr>
        <w:rFonts w:ascii="Cambria" w:hAnsi="Cambria"/>
        <w:noProof/>
        <w:color w:val="000000"/>
        <w:sz w:val="20"/>
        <w:szCs w:val="20"/>
      </w:rPr>
      <w:t>Online Learning in Educational Research</w:t>
    </w:r>
    <w:r w:rsidR="007E0F5C" w:rsidRPr="00E04E38">
      <w:rPr>
        <w:rFonts w:ascii="Cambria" w:hAnsi="Cambria"/>
        <w:b/>
        <w:bCs/>
        <w:sz w:val="20"/>
        <w:szCs w:val="20"/>
      </w:rPr>
      <w:t xml:space="preserve"> | </w:t>
    </w:r>
    <w:r w:rsidR="00964511" w:rsidRPr="00E04E38">
      <w:rPr>
        <w:rFonts w:ascii="Cambria" w:hAnsi="Cambria"/>
        <w:b/>
        <w:bCs/>
        <w:sz w:val="20"/>
        <w:szCs w:val="20"/>
      </w:rPr>
      <w:fldChar w:fldCharType="begin"/>
    </w:r>
    <w:r w:rsidR="00964511" w:rsidRPr="00E04E38">
      <w:rPr>
        <w:rFonts w:ascii="Cambria" w:hAnsi="Cambria"/>
        <w:b/>
        <w:bCs/>
        <w:sz w:val="20"/>
        <w:szCs w:val="20"/>
      </w:rPr>
      <w:instrText xml:space="preserve"> PAGE   \* MERGEFORMAT </w:instrText>
    </w:r>
    <w:r w:rsidR="00964511" w:rsidRPr="00E04E38">
      <w:rPr>
        <w:rFonts w:ascii="Cambria" w:hAnsi="Cambria"/>
        <w:b/>
        <w:bCs/>
        <w:sz w:val="20"/>
        <w:szCs w:val="20"/>
      </w:rPr>
      <w:fldChar w:fldCharType="separate"/>
    </w:r>
    <w:r w:rsidR="00A5426A">
      <w:rPr>
        <w:rFonts w:ascii="Cambria" w:hAnsi="Cambria"/>
        <w:b/>
        <w:bCs/>
        <w:noProof/>
        <w:sz w:val="20"/>
        <w:szCs w:val="20"/>
      </w:rPr>
      <w:t>3</w:t>
    </w:r>
    <w:r w:rsidR="00964511" w:rsidRPr="00E04E38">
      <w:rPr>
        <w:rFonts w:ascii="Cambria" w:hAnsi="Cambri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136C" w14:textId="77777777" w:rsidR="001E155B" w:rsidRDefault="001E155B" w:rsidP="004E422B">
      <w:r>
        <w:separator/>
      </w:r>
    </w:p>
  </w:footnote>
  <w:footnote w:type="continuationSeparator" w:id="0">
    <w:p w14:paraId="6773E201" w14:textId="77777777" w:rsidR="001E155B" w:rsidRDefault="001E155B"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B05" w14:textId="780D8080" w:rsidR="00650EC7" w:rsidRPr="00E04E38" w:rsidRDefault="00874BB2" w:rsidP="00650EC7">
    <w:pPr>
      <w:pStyle w:val="NormalWeb"/>
      <w:spacing w:before="0" w:beforeAutospacing="0" w:after="0" w:afterAutospacing="0"/>
      <w:jc w:val="center"/>
      <w:rPr>
        <w:rFonts w:ascii="Cambria" w:hAnsi="Cambria"/>
        <w:b/>
        <w:bCs/>
        <w:color w:val="000000"/>
        <w:sz w:val="20"/>
        <w:szCs w:val="20"/>
        <w:lang w:val="en-US"/>
      </w:rPr>
    </w:pPr>
    <w:r w:rsidRPr="00E04E38">
      <w:rPr>
        <w:rFonts w:ascii="Cambria" w:hAnsi="Cambria"/>
        <w:b/>
        <w:bCs/>
        <w:noProof/>
        <w:color w:val="000000"/>
        <w:sz w:val="20"/>
        <w:szCs w:val="20"/>
      </w:rPr>
      <w:t>Online Learning in Educational Research</w:t>
    </w:r>
  </w:p>
  <w:p w14:paraId="497F424B" w14:textId="3907B7FF" w:rsidR="00650EC7" w:rsidRPr="00E04E38" w:rsidRDefault="00106286" w:rsidP="00650EC7">
    <w:pPr>
      <w:pStyle w:val="Header"/>
      <w:tabs>
        <w:tab w:val="clear" w:pos="4680"/>
        <w:tab w:val="clear" w:pos="9360"/>
        <w:tab w:val="center" w:pos="4395"/>
        <w:tab w:val="right" w:pos="8505"/>
      </w:tabs>
      <w:rPr>
        <w:rFonts w:ascii="Cambria" w:hAnsi="Cambria"/>
        <w:sz w:val="20"/>
        <w:szCs w:val="20"/>
        <w:lang w:val="en-GB"/>
      </w:rPr>
    </w:pPr>
    <w:r w:rsidRPr="00E04E38">
      <w:rPr>
        <w:rFonts w:ascii="Cambria" w:hAnsi="Cambria"/>
        <w:b/>
        <w:bCs/>
        <w:noProof/>
        <w:lang w:val="en-US" w:eastAsia="en-US"/>
      </w:rPr>
      <mc:AlternateContent>
        <mc:Choice Requires="wps">
          <w:drawing>
            <wp:anchor distT="0" distB="0" distL="114300" distR="114300" simplePos="0" relativeHeight="251660288" behindDoc="0" locked="0" layoutInCell="1" allowOverlap="1" wp14:anchorId="321F08EB" wp14:editId="084191AD">
              <wp:simplePos x="0" y="0"/>
              <wp:positionH relativeFrom="column">
                <wp:posOffset>-33655</wp:posOffset>
              </wp:positionH>
              <wp:positionV relativeFrom="paragraph">
                <wp:posOffset>0</wp:posOffset>
              </wp:positionV>
              <wp:extent cx="5940000" cy="0"/>
              <wp:effectExtent l="0" t="0" r="41910" b="57150"/>
              <wp:wrapNone/>
              <wp:docPr id="4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9ECB63" id="_x0000_t32" coordsize="21600,21600" o:spt="32" o:oned="t" path="m,l21600,21600e" filled="f">
              <v:path arrowok="t" fillok="f" o:connecttype="none"/>
              <o:lock v:ext="edit" shapetype="t"/>
            </v:shapetype>
            <v:shape id="AutoShape 7" o:spid="_x0000_s1026" type="#_x0000_t32" style="position:absolute;margin-left:-2.65pt;margin-top:0;width:467.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">
              <v:shadow on="t"/>
            </v:shape>
          </w:pict>
        </mc:Fallback>
      </mc:AlternateContent>
    </w:r>
    <w:r w:rsidR="00650EC7" w:rsidRPr="00E04E38">
      <w:rPr>
        <w:rFonts w:ascii="Cambria" w:hAnsi="Cambria"/>
        <w:sz w:val="20"/>
        <w:szCs w:val="20"/>
        <w:lang w:val="en-GB"/>
      </w:rPr>
      <w:t>Author</w:t>
    </w:r>
    <w:r w:rsidR="00650EC7">
      <w:rPr>
        <w:sz w:val="20"/>
        <w:szCs w:val="20"/>
      </w:rPr>
      <w:tab/>
      <w:t>│</w:t>
    </w:r>
    <w:r w:rsidR="00650EC7">
      <w:rPr>
        <w:sz w:val="20"/>
        <w:szCs w:val="20"/>
      </w:rPr>
      <w:tab/>
    </w:r>
    <w:r w:rsidR="00650EC7" w:rsidRPr="00E04E38">
      <w:rPr>
        <w:rFonts w:ascii="Cambria" w:hAnsi="Cambria"/>
        <w:sz w:val="20"/>
        <w:szCs w:val="20"/>
        <w:lang w:val="en-GB"/>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C9A9" w14:textId="4757B02F" w:rsidR="00557090" w:rsidRPr="00557090" w:rsidRDefault="008D0A7D" w:rsidP="00557090">
    <w:pPr>
      <w:pStyle w:val="NormalWeb"/>
      <w:spacing w:before="0" w:beforeAutospacing="0" w:after="0" w:afterAutospacing="0"/>
      <w:jc w:val="center"/>
      <w:rPr>
        <w:b/>
        <w:bCs/>
        <w:color w:val="000000"/>
        <w:sz w:val="18"/>
        <w:szCs w:val="18"/>
        <w:lang w:val="en-US"/>
      </w:rPr>
    </w:pPr>
    <w:r>
      <w:rPr>
        <w:b/>
        <w:bCs/>
        <w:noProof/>
        <w:lang w:val="en-US" w:eastAsia="en-US"/>
      </w:rPr>
      <mc:AlternateContent>
        <mc:Choice Requires="wps">
          <w:drawing>
            <wp:anchor distT="0" distB="0" distL="114300" distR="114300" simplePos="0" relativeHeight="251657216" behindDoc="0" locked="0" layoutInCell="1" allowOverlap="1" wp14:anchorId="009CE3CA" wp14:editId="6F221DC6">
              <wp:simplePos x="0" y="0"/>
              <wp:positionH relativeFrom="column">
                <wp:posOffset>-24130</wp:posOffset>
              </wp:positionH>
              <wp:positionV relativeFrom="paragraph">
                <wp:posOffset>125730</wp:posOffset>
              </wp:positionV>
              <wp:extent cx="5943600" cy="0"/>
              <wp:effectExtent l="0" t="0" r="38100" b="571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0FDD4" id="_x0000_t32" coordsize="21600,21600" o:spt="32" o:oned="t" path="m,l21600,21600e" filled="f">
              <v:path arrowok="t" fillok="f" o:connecttype="none"/>
              <o:lock v:ext="edit" shapetype="t"/>
            </v:shapetype>
            <v:shape id="AutoShape 7" o:spid="_x0000_s1026" type="#_x0000_t32" style="position:absolute;margin-left:-1.9pt;margin-top:9.9pt;width:46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">
              <v:shadow on="t"/>
            </v:shape>
          </w:pict>
        </mc:Fallback>
      </mc:AlternateContent>
    </w:r>
    <w:r w:rsidR="00E00FD9">
      <w:rPr>
        <w:b/>
        <w:bCs/>
        <w:color w:val="000000"/>
        <w:sz w:val="18"/>
        <w:szCs w:val="18"/>
        <w:lang w:val="en-US"/>
      </w:rPr>
      <w:t>Online Learning in Educational Research</w:t>
    </w:r>
  </w:p>
  <w:p w14:paraId="4E8028F1" w14:textId="0E0B59E5" w:rsidR="00557090" w:rsidRPr="00650EC7" w:rsidRDefault="00650EC7" w:rsidP="00557090">
    <w:pPr>
      <w:pStyle w:val="Header"/>
      <w:tabs>
        <w:tab w:val="clear" w:pos="4680"/>
        <w:tab w:val="clear" w:pos="9360"/>
        <w:tab w:val="center" w:pos="4395"/>
        <w:tab w:val="right" w:pos="8505"/>
      </w:tabs>
      <w:rPr>
        <w:sz w:val="20"/>
        <w:szCs w:val="20"/>
        <w:lang w:val="en-GB"/>
      </w:rPr>
    </w:pPr>
    <w:r>
      <w:rPr>
        <w:sz w:val="20"/>
        <w:szCs w:val="20"/>
        <w:lang w:val="en-GB"/>
      </w:rPr>
      <w:t>Author</w:t>
    </w:r>
    <w:r w:rsidR="00557090">
      <w:rPr>
        <w:sz w:val="20"/>
        <w:szCs w:val="20"/>
      </w:rPr>
      <w:tab/>
      <w:t>│</w:t>
    </w:r>
    <w:r w:rsidR="00557090">
      <w:rPr>
        <w:sz w:val="20"/>
        <w:szCs w:val="20"/>
      </w:rPr>
      <w:tab/>
    </w:r>
    <w:r>
      <w:rPr>
        <w:sz w:val="20"/>
        <w:szCs w:val="20"/>
        <w:lang w:val="en-GB"/>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5036" w14:textId="42488F09" w:rsidR="00B66BA4" w:rsidRDefault="00106286" w:rsidP="00B66BA4">
    <w:pPr>
      <w:spacing w:line="140" w:lineRule="exact"/>
    </w:pPr>
    <w:r>
      <w:rPr>
        <w:noProof/>
        <w:lang w:eastAsia="en-US"/>
      </w:rPr>
      <w:drawing>
        <wp:anchor distT="0" distB="0" distL="114300" distR="114300" simplePos="0" relativeHeight="251663360" behindDoc="1" locked="0" layoutInCell="1" allowOverlap="1" wp14:anchorId="32D3366B" wp14:editId="36457BE6">
          <wp:simplePos x="0" y="0"/>
          <wp:positionH relativeFrom="column">
            <wp:posOffset>-123190</wp:posOffset>
          </wp:positionH>
          <wp:positionV relativeFrom="paragraph">
            <wp:posOffset>-61595</wp:posOffset>
          </wp:positionV>
          <wp:extent cx="1147272" cy="1176795"/>
          <wp:effectExtent l="0" t="0" r="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272" cy="1176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g">
          <w:drawing>
            <wp:anchor distT="0" distB="0" distL="114300" distR="114300" simplePos="0" relativeHeight="251662336" behindDoc="1" locked="0" layoutInCell="1" allowOverlap="1" wp14:anchorId="5FFC6B3E" wp14:editId="74A4122D">
              <wp:simplePos x="0" y="0"/>
              <wp:positionH relativeFrom="page">
                <wp:posOffset>771525</wp:posOffset>
              </wp:positionH>
              <wp:positionV relativeFrom="page">
                <wp:posOffset>333375</wp:posOffset>
              </wp:positionV>
              <wp:extent cx="6048375" cy="1094105"/>
              <wp:effectExtent l="0" t="0" r="9525" b="107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1094105"/>
                        <a:chOff x="848" y="1103"/>
                        <a:chExt cx="10362" cy="1723"/>
                      </a:xfrm>
                    </wpg:grpSpPr>
                    <wps:wsp>
                      <wps:cNvPr id="14" name="Freeform 2"/>
                      <wps:cNvSpPr>
                        <a:spLocks/>
                      </wps:cNvSpPr>
                      <wps:spPr bwMode="auto">
                        <a:xfrm>
                          <a:off x="857" y="1112"/>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
                      <wps:cNvSpPr>
                        <a:spLocks/>
                      </wps:cNvSpPr>
                      <wps:spPr bwMode="auto">
                        <a:xfrm>
                          <a:off x="2841" y="1112"/>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
                      <wps:cNvSpPr>
                        <a:spLocks/>
                      </wps:cNvSpPr>
                      <wps:spPr bwMode="auto">
                        <a:xfrm>
                          <a:off x="853"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857" y="2817"/>
                          <a:ext cx="1977" cy="0"/>
                        </a:xfrm>
                        <a:custGeom>
                          <a:avLst/>
                          <a:gdLst>
                            <a:gd name="T0" fmla="+- 0 857 857"/>
                            <a:gd name="T1" fmla="*/ T0 w 1977"/>
                            <a:gd name="T2" fmla="+- 0 2833 857"/>
                            <a:gd name="T3" fmla="*/ T2 w 1977"/>
                          </a:gdLst>
                          <a:ahLst/>
                          <a:cxnLst>
                            <a:cxn ang="0">
                              <a:pos x="T1" y="0"/>
                            </a:cxn>
                            <a:cxn ang="0">
                              <a:pos x="T3" y="0"/>
                            </a:cxn>
                          </a:cxnLst>
                          <a:rect l="0" t="0" r="r" b="b"/>
                          <a:pathLst>
                            <a:path w="1977">
                              <a:moveTo>
                                <a:pt x="0" y="0"/>
                              </a:moveTo>
                              <a:lnTo>
                                <a:pt x="1976"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2837"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2841" y="2817"/>
                          <a:ext cx="8359" cy="0"/>
                        </a:xfrm>
                        <a:custGeom>
                          <a:avLst/>
                          <a:gdLst>
                            <a:gd name="T0" fmla="+- 0 2841 2841"/>
                            <a:gd name="T1" fmla="*/ T0 w 8359"/>
                            <a:gd name="T2" fmla="+- 0 11200 2841"/>
                            <a:gd name="T3" fmla="*/ T2 w 8359"/>
                          </a:gdLst>
                          <a:ahLst/>
                          <a:cxnLst>
                            <a:cxn ang="0">
                              <a:pos x="T1" y="0"/>
                            </a:cxn>
                            <a:cxn ang="0">
                              <a:pos x="T3" y="0"/>
                            </a:cxn>
                          </a:cxnLst>
                          <a:rect l="0" t="0" r="r" b="b"/>
                          <a:pathLst>
                            <a:path w="8359">
                              <a:moveTo>
                                <a:pt x="0" y="0"/>
                              </a:moveTo>
                              <a:lnTo>
                                <a:pt x="8359" y="0"/>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8"/>
                      <wps:cNvSpPr>
                        <a:spLocks/>
                      </wps:cNvSpPr>
                      <wps:spPr bwMode="auto">
                        <a:xfrm>
                          <a:off x="11204" y="1108"/>
                          <a:ext cx="0" cy="1713"/>
                        </a:xfrm>
                        <a:custGeom>
                          <a:avLst/>
                          <a:gdLst>
                            <a:gd name="T0" fmla="+- 0 1108 1108"/>
                            <a:gd name="T1" fmla="*/ 1108 h 1713"/>
                            <a:gd name="T2" fmla="+- 0 2821 1108"/>
                            <a:gd name="T3" fmla="*/ 2821 h 1713"/>
                          </a:gdLst>
                          <a:ahLst/>
                          <a:cxnLst>
                            <a:cxn ang="0">
                              <a:pos x="0" y="T1"/>
                            </a:cxn>
                            <a:cxn ang="0">
                              <a:pos x="0" y="T3"/>
                            </a:cxn>
                          </a:cxnLst>
                          <a:rect l="0" t="0" r="r" b="b"/>
                          <a:pathLst>
                            <a:path h="1713">
                              <a:moveTo>
                                <a:pt x="0" y="0"/>
                              </a:moveTo>
                              <a:lnTo>
                                <a:pt x="0" y="1713"/>
                              </a:lnTo>
                            </a:path>
                          </a:pathLst>
                        </a:custGeom>
                        <a:noFill/>
                        <a:ln w="635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7CE132" id="Group 13" o:spid="_x0000_s1026" style="position:absolute;margin-left:60.75pt;margin-top:26.25pt;width:476.25pt;height:86.15pt;z-index:-251654144;mso-position-horizontal-relative:page;mso-position-vertical-relative:page" coordorigin="848,1103" coordsize="10362,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">
              <v:shape id="Freeform 2" o:spid="_x0000_s1027" style="position:absolute;left:857;top:1112;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" path="m,l1976,e" filled="f" strokecolor="#d9d9d9" strokeweight=".5pt">
                <v:path arrowok="t" o:connecttype="custom" o:connectlocs="0,0;1976,0" o:connectangles="0,0"/>
              </v:shape>
              <v:shape id="Freeform 3" o:spid="_x0000_s1028" style="position:absolute;left:2841;top:1112;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" path="m,l8359,e" filled="f" strokecolor="#d9d9d9" strokeweight=".5pt">
                <v:path arrowok="t" o:connecttype="custom" o:connectlocs="0,0;8359,0" o:connectangles="0,0"/>
              </v:shape>
              <v:shape id="Freeform 4" o:spid="_x0000_s1029" style="position:absolute;left:853;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" path="m,l,1713e" filled="f" strokecolor="#d9d9d9" strokeweight=".5pt">
                <v:path arrowok="t" o:connecttype="custom" o:connectlocs="0,1108;0,2821" o:connectangles="0,0"/>
              </v:shape>
              <v:shape id="Freeform 5" o:spid="_x0000_s1030" style="position:absolute;left:857;top:2817;width:1977;height:0;visibility:visible;mso-wrap-style:square;v-text-anchor:top" coordsize="1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" path="m,l1976,e" filled="f" strokecolor="#d9d9d9" strokeweight=".5pt">
                <v:path arrowok="t" o:connecttype="custom" o:connectlocs="0,0;1976,0" o:connectangles="0,0"/>
              </v:shape>
              <v:shape id="Freeform 6" o:spid="_x0000_s1031" style="position:absolute;left:2837;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" path="m,l,1713e" filled="f" strokecolor="#d9d9d9" strokeweight=".5pt">
                <v:path arrowok="t" o:connecttype="custom" o:connectlocs="0,1108;0,2821" o:connectangles="0,0"/>
              </v:shape>
              <v:shape id="Freeform 7" o:spid="_x0000_s1032" style="position:absolute;left:2841;top:2817;width:8359;height:0;visibility:visible;mso-wrap-style:square;v-text-anchor:top" coordsize="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" path="m,l8359,e" filled="f" strokecolor="#d9d9d9" strokeweight=".5pt">
                <v:path arrowok="t" o:connecttype="custom" o:connectlocs="0,0;8359,0" o:connectangles="0,0"/>
              </v:shape>
              <v:shape id="Freeform 8" o:spid="_x0000_s1033" style="position:absolute;left:11204;top:1108;width:0;height:1713;visibility:visible;mso-wrap-style:square;v-text-anchor:top" coordsize="0,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" path="m,l,1713e" filled="f" strokecolor="#d9d9d9" strokeweight=".5pt">
                <v:path arrowok="t" o:connecttype="custom" o:connectlocs="0,1108;0,2821" o:connectangles="0,0"/>
              </v:shape>
              <w10:wrap anchorx="page" anchory="page"/>
            </v:group>
          </w:pict>
        </mc:Fallback>
      </mc:AlternateContent>
    </w:r>
  </w:p>
  <w:p w14:paraId="3D7E0353" w14:textId="0CF71D41" w:rsidR="00B66BA4" w:rsidRPr="008547D2" w:rsidRDefault="00B66BA4" w:rsidP="00106286">
    <w:pPr>
      <w:ind w:left="1701" w:right="-2"/>
      <w:jc w:val="center"/>
      <w:rPr>
        <w:rFonts w:ascii="Tw Cen MT Condensed Extra Bold" w:eastAsia="Tw Cen MT Condensed Extra Bold" w:hAnsi="Tw Cen MT Condensed Extra Bold" w:cs="Tw Cen MT Condensed Extra Bold"/>
        <w:sz w:val="46"/>
        <w:szCs w:val="46"/>
      </w:rPr>
    </w:pPr>
    <w:r w:rsidRPr="008547D2">
      <w:rPr>
        <w:rFonts w:ascii="Tw Cen MT Condensed Extra Bold" w:eastAsia="Tw Cen MT Condensed Extra Bold" w:hAnsi="Tw Cen MT Condensed Extra Bold" w:cs="Tw Cen MT Condensed Extra Bold"/>
        <w:sz w:val="46"/>
        <w:szCs w:val="46"/>
      </w:rPr>
      <w:t>Online Learning</w:t>
    </w:r>
    <w:r w:rsidRPr="008547D2">
      <w:rPr>
        <w:rFonts w:ascii="Tw Cen MT Condensed Extra Bold" w:eastAsia="Tw Cen MT Condensed Extra Bold" w:hAnsi="Tw Cen MT Condensed Extra Bold" w:cs="Tw Cen MT Condensed Extra Bold"/>
        <w:spacing w:val="-2"/>
        <w:sz w:val="46"/>
        <w:szCs w:val="46"/>
      </w:rPr>
      <w:t xml:space="preserve"> </w:t>
    </w:r>
    <w:r w:rsidRPr="008547D2">
      <w:rPr>
        <w:rFonts w:ascii="Tw Cen MT Condensed Extra Bold" w:eastAsia="Tw Cen MT Condensed Extra Bold" w:hAnsi="Tw Cen MT Condensed Extra Bold" w:cs="Tw Cen MT Condensed Extra Bold"/>
        <w:spacing w:val="4"/>
        <w:sz w:val="46"/>
        <w:szCs w:val="46"/>
      </w:rPr>
      <w:t>in</w:t>
    </w:r>
    <w:r w:rsidRPr="008547D2">
      <w:rPr>
        <w:rFonts w:ascii="Tw Cen MT Condensed Extra Bold" w:eastAsia="Tw Cen MT Condensed Extra Bold" w:hAnsi="Tw Cen MT Condensed Extra Bold" w:cs="Tw Cen MT Condensed Extra Bold"/>
        <w:spacing w:val="-1"/>
        <w:sz w:val="46"/>
        <w:szCs w:val="46"/>
      </w:rPr>
      <w:t xml:space="preserve"> </w:t>
    </w:r>
    <w:r w:rsidRPr="008547D2">
      <w:rPr>
        <w:rFonts w:ascii="Tw Cen MT Condensed Extra Bold" w:eastAsia="Tw Cen MT Condensed Extra Bold" w:hAnsi="Tw Cen MT Condensed Extra Bold" w:cs="Tw Cen MT Condensed Extra Bold"/>
        <w:sz w:val="46"/>
        <w:szCs w:val="46"/>
      </w:rPr>
      <w:t>E</w:t>
    </w:r>
    <w:r w:rsidRPr="008547D2">
      <w:rPr>
        <w:rFonts w:ascii="Tw Cen MT Condensed Extra Bold" w:eastAsia="Tw Cen MT Condensed Extra Bold" w:hAnsi="Tw Cen MT Condensed Extra Bold" w:cs="Tw Cen MT Condensed Extra Bold"/>
        <w:spacing w:val="4"/>
        <w:sz w:val="46"/>
        <w:szCs w:val="46"/>
      </w:rPr>
      <w:t>d</w:t>
    </w:r>
    <w:r w:rsidRPr="008547D2">
      <w:rPr>
        <w:rFonts w:ascii="Tw Cen MT Condensed Extra Bold" w:eastAsia="Tw Cen MT Condensed Extra Bold" w:hAnsi="Tw Cen MT Condensed Extra Bold" w:cs="Tw Cen MT Condensed Extra Bold"/>
        <w:sz w:val="46"/>
        <w:szCs w:val="46"/>
      </w:rPr>
      <w:t>ucat</w:t>
    </w:r>
    <w:r w:rsidRPr="008547D2">
      <w:rPr>
        <w:rFonts w:ascii="Tw Cen MT Condensed Extra Bold" w:eastAsia="Tw Cen MT Condensed Extra Bold" w:hAnsi="Tw Cen MT Condensed Extra Bold" w:cs="Tw Cen MT Condensed Extra Bold"/>
        <w:spacing w:val="2"/>
        <w:sz w:val="46"/>
        <w:szCs w:val="46"/>
      </w:rPr>
      <w:t>i</w:t>
    </w:r>
    <w:r w:rsidRPr="008547D2">
      <w:rPr>
        <w:rFonts w:ascii="Tw Cen MT Condensed Extra Bold" w:eastAsia="Tw Cen MT Condensed Extra Bold" w:hAnsi="Tw Cen MT Condensed Extra Bold" w:cs="Tw Cen MT Condensed Extra Bold"/>
        <w:spacing w:val="-2"/>
        <w:sz w:val="46"/>
        <w:szCs w:val="46"/>
      </w:rPr>
      <w:t>o</w:t>
    </w:r>
    <w:r w:rsidRPr="008547D2">
      <w:rPr>
        <w:rFonts w:ascii="Tw Cen MT Condensed Extra Bold" w:eastAsia="Tw Cen MT Condensed Extra Bold" w:hAnsi="Tw Cen MT Condensed Extra Bold" w:cs="Tw Cen MT Condensed Extra Bold"/>
        <w:sz w:val="46"/>
        <w:szCs w:val="46"/>
      </w:rPr>
      <w:t>nal Research</w:t>
    </w:r>
  </w:p>
  <w:p w14:paraId="265265F0" w14:textId="14BED36C" w:rsidR="00B66BA4" w:rsidRDefault="00B66BA4" w:rsidP="006654C5">
    <w:pPr>
      <w:spacing w:before="29"/>
      <w:ind w:left="4253" w:right="2407"/>
      <w:jc w:val="center"/>
      <w:rPr>
        <w:rFonts w:ascii="Cambria" w:eastAsia="Cambria" w:hAnsi="Cambria" w:cs="Cambria"/>
        <w:sz w:val="22"/>
        <w:szCs w:val="22"/>
      </w:rPr>
    </w:pPr>
    <w:r>
      <w:rPr>
        <w:rFonts w:ascii="Cambria" w:eastAsia="Cambria" w:hAnsi="Cambria" w:cs="Cambria"/>
        <w:b/>
        <w:sz w:val="22"/>
        <w:szCs w:val="22"/>
      </w:rPr>
      <w:t>V</w:t>
    </w:r>
    <w:r>
      <w:rPr>
        <w:rFonts w:ascii="Cambria" w:eastAsia="Cambria" w:hAnsi="Cambria" w:cs="Cambria"/>
        <w:b/>
        <w:spacing w:val="-1"/>
        <w:sz w:val="22"/>
        <w:szCs w:val="22"/>
      </w:rPr>
      <w:t>o</w:t>
    </w:r>
    <w:r>
      <w:rPr>
        <w:rFonts w:ascii="Cambria" w:eastAsia="Cambria" w:hAnsi="Cambria" w:cs="Cambria"/>
        <w:b/>
        <w:sz w:val="22"/>
        <w:szCs w:val="22"/>
      </w:rPr>
      <w:t>l</w:t>
    </w:r>
    <w:r>
      <w:rPr>
        <w:rFonts w:ascii="Cambria" w:eastAsia="Cambria" w:hAnsi="Cambria" w:cs="Cambria"/>
        <w:b/>
        <w:spacing w:val="1"/>
        <w:sz w:val="22"/>
        <w:szCs w:val="22"/>
      </w:rPr>
      <w:t>u</w:t>
    </w:r>
    <w:r>
      <w:rPr>
        <w:rFonts w:ascii="Cambria" w:eastAsia="Cambria" w:hAnsi="Cambria" w:cs="Cambria"/>
        <w:b/>
        <w:sz w:val="22"/>
        <w:szCs w:val="22"/>
      </w:rPr>
      <w:t xml:space="preserve">me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w:t>
    </w:r>
    <w:r>
      <w:rPr>
        <w:rFonts w:ascii="Cambria" w:eastAsia="Cambria" w:hAnsi="Cambria" w:cs="Cambria"/>
        <w:b/>
        <w:spacing w:val="-1"/>
        <w:sz w:val="22"/>
        <w:szCs w:val="22"/>
      </w:rPr>
      <w:t>Iss</w:t>
    </w:r>
    <w:r>
      <w:rPr>
        <w:rFonts w:ascii="Cambria" w:eastAsia="Cambria" w:hAnsi="Cambria" w:cs="Cambria"/>
        <w:b/>
        <w:sz w:val="22"/>
        <w:szCs w:val="22"/>
      </w:rPr>
      <w:t xml:space="preserve">ue </w:t>
    </w:r>
    <w:r>
      <w:rPr>
        <w:rFonts w:ascii="Cambria" w:eastAsia="Cambria" w:hAnsi="Cambria" w:cs="Cambria"/>
        <w:b/>
        <w:spacing w:val="2"/>
        <w:sz w:val="22"/>
        <w:szCs w:val="22"/>
      </w:rPr>
      <w:t>X</w:t>
    </w:r>
    <w:r>
      <w:rPr>
        <w:rFonts w:ascii="Cambria" w:eastAsia="Cambria" w:hAnsi="Cambria" w:cs="Cambria"/>
        <w:b/>
        <w:sz w:val="22"/>
        <w:szCs w:val="22"/>
      </w:rPr>
      <w:t>,</w:t>
    </w:r>
    <w:r>
      <w:rPr>
        <w:rFonts w:ascii="Cambria" w:eastAsia="Cambria" w:hAnsi="Cambria" w:cs="Cambria"/>
        <w:b/>
        <w:spacing w:val="1"/>
        <w:sz w:val="22"/>
        <w:szCs w:val="22"/>
      </w:rPr>
      <w:t xml:space="preserve"> xx</w:t>
    </w:r>
    <w:r>
      <w:rPr>
        <w:rFonts w:ascii="Cambria" w:eastAsia="Cambria" w:hAnsi="Cambria" w:cs="Cambria"/>
        <w:b/>
        <w:spacing w:val="2"/>
        <w:sz w:val="22"/>
        <w:szCs w:val="22"/>
      </w:rPr>
      <w:t xml:space="preserve"> </w:t>
    </w:r>
    <w:r>
      <w:rPr>
        <w:rFonts w:ascii="Cambria" w:eastAsia="Cambria" w:hAnsi="Cambria" w:cs="Cambria"/>
        <w:b/>
        <w:sz w:val="22"/>
        <w:szCs w:val="22"/>
      </w:rPr>
      <w:t>-</w:t>
    </w:r>
    <w:r>
      <w:rPr>
        <w:rFonts w:ascii="Cambria" w:eastAsia="Cambria" w:hAnsi="Cambria" w:cs="Cambria"/>
        <w:b/>
        <w:spacing w:val="-2"/>
        <w:sz w:val="22"/>
        <w:szCs w:val="22"/>
      </w:rPr>
      <w:t>xx</w:t>
    </w:r>
    <w:r>
      <w:rPr>
        <w:rFonts w:ascii="Cambria" w:eastAsia="Cambria" w:hAnsi="Cambria" w:cs="Cambria"/>
        <w:b/>
        <w:sz w:val="22"/>
        <w:szCs w:val="22"/>
      </w:rPr>
      <w:t>.</w:t>
    </w:r>
  </w:p>
  <w:p w14:paraId="421D7969" w14:textId="77777777" w:rsidR="00B66BA4" w:rsidRPr="00BE05B7" w:rsidRDefault="00B66BA4" w:rsidP="006654C5">
    <w:pPr>
      <w:spacing w:line="220" w:lineRule="exact"/>
      <w:ind w:left="4678" w:right="-2"/>
      <w:rPr>
        <w:rFonts w:ascii="Cambria" w:eastAsia="Cambria" w:hAnsi="Cambria" w:cs="Cambria"/>
        <w:sz w:val="20"/>
        <w:szCs w:val="20"/>
        <w:lang w:val="de-DE"/>
      </w:rPr>
    </w:pPr>
    <w:r w:rsidRPr="00BE05B7">
      <w:rPr>
        <w:rFonts w:ascii="Cambria" w:eastAsia="Cambria" w:hAnsi="Cambria" w:cs="Cambria"/>
        <w:spacing w:val="-1"/>
        <w:sz w:val="20"/>
        <w:szCs w:val="20"/>
        <w:lang w:val="de-DE"/>
      </w:rPr>
      <w:t>e_I</w:t>
    </w:r>
    <w:r w:rsidRPr="00BE05B7">
      <w:rPr>
        <w:rFonts w:ascii="Cambria" w:eastAsia="Cambria" w:hAnsi="Cambria" w:cs="Cambria"/>
        <w:spacing w:val="1"/>
        <w:sz w:val="20"/>
        <w:szCs w:val="20"/>
        <w:lang w:val="de-DE"/>
      </w:rPr>
      <w:t>SS</w:t>
    </w:r>
    <w:r w:rsidRPr="00BE05B7">
      <w:rPr>
        <w:rFonts w:ascii="Cambria" w:eastAsia="Cambria" w:hAnsi="Cambria" w:cs="Cambria"/>
        <w:sz w:val="20"/>
        <w:szCs w:val="20"/>
        <w:lang w:val="de-DE"/>
      </w:rPr>
      <w:t>N:</w:t>
    </w:r>
    <w:r w:rsidRPr="00BE05B7">
      <w:rPr>
        <w:rFonts w:ascii="Cambria" w:eastAsia="Cambria" w:hAnsi="Cambria" w:cs="Cambria"/>
        <w:spacing w:val="-1"/>
        <w:sz w:val="20"/>
        <w:szCs w:val="20"/>
        <w:lang w:val="de-DE"/>
      </w:rPr>
      <w:t xml:space="preserve"> </w:t>
    </w:r>
    <w:r w:rsidRPr="00BE05B7">
      <w:rPr>
        <w:rFonts w:ascii="Cambria" w:eastAsia="Cambria" w:hAnsi="Cambria" w:cs="Cambria"/>
        <w:spacing w:val="1"/>
        <w:sz w:val="20"/>
        <w:szCs w:val="20"/>
        <w:lang w:val="de-DE"/>
      </w:rPr>
      <w:t>2798</w:t>
    </w:r>
    <w:r w:rsidRPr="00BE05B7">
      <w:rPr>
        <w:rFonts w:ascii="Cambria" w:eastAsia="Cambria" w:hAnsi="Cambria" w:cs="Cambria"/>
        <w:spacing w:val="2"/>
        <w:sz w:val="20"/>
        <w:szCs w:val="20"/>
        <w:lang w:val="de-DE"/>
      </w:rPr>
      <w:t>-</w:t>
    </w:r>
    <w:r w:rsidRPr="00BE05B7">
      <w:rPr>
        <w:rFonts w:ascii="Cambria" w:eastAsia="Cambria" w:hAnsi="Cambria" w:cs="Cambria"/>
        <w:spacing w:val="1"/>
        <w:sz w:val="20"/>
        <w:szCs w:val="20"/>
        <w:lang w:val="de-DE"/>
      </w:rPr>
      <w:t>2351</w:t>
    </w:r>
  </w:p>
  <w:p w14:paraId="6DB86AAB" w14:textId="5B2D04E7" w:rsidR="0065620B" w:rsidRPr="00BE05B7" w:rsidRDefault="00B66BA4" w:rsidP="006654C5">
    <w:pPr>
      <w:spacing w:line="220" w:lineRule="exact"/>
      <w:ind w:left="2880" w:right="-2" w:firstLine="97"/>
      <w:rPr>
        <w:rFonts w:ascii="Cambria" w:eastAsia="Cambria" w:hAnsi="Cambria" w:cs="Cambria"/>
        <w:sz w:val="20"/>
        <w:szCs w:val="20"/>
        <w:lang w:val="de-DE"/>
      </w:rPr>
    </w:pPr>
    <w:hyperlink r:id="rId2" w:history="1">
      <w:r w:rsidRPr="00BE05B7">
        <w:rPr>
          <w:rStyle w:val="Hyperlink"/>
          <w:rFonts w:ascii="Cambria" w:eastAsia="Cambria" w:hAnsi="Cambria" w:cs="Cambria"/>
          <w:color w:val="auto"/>
          <w:sz w:val="20"/>
          <w:szCs w:val="20"/>
          <w:u w:val="none"/>
          <w:lang w:val="de-DE"/>
        </w:rPr>
        <w:t>https://www.journal.foundae.com/index.php/oler/index</w:t>
      </w:r>
    </w:hyperlink>
  </w:p>
  <w:p w14:paraId="6DB976E0" w14:textId="77777777" w:rsidR="00B66BA4" w:rsidRPr="00BE05B7" w:rsidRDefault="00B66BA4" w:rsidP="00B66BA4">
    <w:pPr>
      <w:spacing w:line="220" w:lineRule="exact"/>
      <w:ind w:left="2880" w:right="-2" w:firstLine="522"/>
      <w:rPr>
        <w:rFonts w:ascii="Cambria" w:eastAsia="Cambria" w:hAnsi="Cambria" w:cs="Cambria"/>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0DC"/>
    <w:multiLevelType w:val="hybridMultilevel"/>
    <w:tmpl w:val="548E50E4"/>
    <w:lvl w:ilvl="0" w:tplc="3A5090D2">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864AC8"/>
    <w:multiLevelType w:val="multilevel"/>
    <w:tmpl w:val="4BB26E0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2550069">
    <w:abstractNumId w:val="3"/>
  </w:num>
  <w:num w:numId="2" w16cid:durableId="837304451">
    <w:abstractNumId w:val="2"/>
  </w:num>
  <w:num w:numId="3" w16cid:durableId="101078299">
    <w:abstractNumId w:val="4"/>
  </w:num>
  <w:num w:numId="4" w16cid:durableId="1372682432">
    <w:abstractNumId w:val="1"/>
  </w:num>
  <w:num w:numId="5" w16cid:durableId="1745450120">
    <w:abstractNumId w:val="5"/>
  </w:num>
  <w:num w:numId="6" w16cid:durableId="175053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0D"/>
    <w:rsid w:val="0002378E"/>
    <w:rsid w:val="00047F0E"/>
    <w:rsid w:val="0005136F"/>
    <w:rsid w:val="000531FB"/>
    <w:rsid w:val="00063DDE"/>
    <w:rsid w:val="000709E5"/>
    <w:rsid w:val="00075DC8"/>
    <w:rsid w:val="00081ED4"/>
    <w:rsid w:val="00090D77"/>
    <w:rsid w:val="000C6606"/>
    <w:rsid w:val="000E0895"/>
    <w:rsid w:val="000E1BEE"/>
    <w:rsid w:val="000E22C3"/>
    <w:rsid w:val="000F2A64"/>
    <w:rsid w:val="000F5D99"/>
    <w:rsid w:val="00106286"/>
    <w:rsid w:val="0011151D"/>
    <w:rsid w:val="001351BA"/>
    <w:rsid w:val="00135FBC"/>
    <w:rsid w:val="00141CB1"/>
    <w:rsid w:val="001435F8"/>
    <w:rsid w:val="00160D61"/>
    <w:rsid w:val="00164EF0"/>
    <w:rsid w:val="001A0B9C"/>
    <w:rsid w:val="001B20C5"/>
    <w:rsid w:val="001B70F0"/>
    <w:rsid w:val="001C07EA"/>
    <w:rsid w:val="001C2D68"/>
    <w:rsid w:val="001C475A"/>
    <w:rsid w:val="001C5195"/>
    <w:rsid w:val="001D02C5"/>
    <w:rsid w:val="001E06D2"/>
    <w:rsid w:val="001E155B"/>
    <w:rsid w:val="001F440A"/>
    <w:rsid w:val="0020218D"/>
    <w:rsid w:val="00255F44"/>
    <w:rsid w:val="00257495"/>
    <w:rsid w:val="002A6CB5"/>
    <w:rsid w:val="002C20B4"/>
    <w:rsid w:val="002D7AB8"/>
    <w:rsid w:val="002F25F8"/>
    <w:rsid w:val="002F6BE9"/>
    <w:rsid w:val="003079C2"/>
    <w:rsid w:val="003211B0"/>
    <w:rsid w:val="00321687"/>
    <w:rsid w:val="00340409"/>
    <w:rsid w:val="003563D3"/>
    <w:rsid w:val="00370FE3"/>
    <w:rsid w:val="00374001"/>
    <w:rsid w:val="003C30B2"/>
    <w:rsid w:val="003D1829"/>
    <w:rsid w:val="003D7CAF"/>
    <w:rsid w:val="003E34FE"/>
    <w:rsid w:val="003E41CD"/>
    <w:rsid w:val="003F0AB8"/>
    <w:rsid w:val="00404622"/>
    <w:rsid w:val="00414CD2"/>
    <w:rsid w:val="00426231"/>
    <w:rsid w:val="00440FD7"/>
    <w:rsid w:val="00451E2D"/>
    <w:rsid w:val="00467C43"/>
    <w:rsid w:val="004750A2"/>
    <w:rsid w:val="00486A43"/>
    <w:rsid w:val="004B3307"/>
    <w:rsid w:val="004E422B"/>
    <w:rsid w:val="004F5D25"/>
    <w:rsid w:val="005074BE"/>
    <w:rsid w:val="0051703E"/>
    <w:rsid w:val="005269F3"/>
    <w:rsid w:val="00527B0D"/>
    <w:rsid w:val="005374DA"/>
    <w:rsid w:val="00555785"/>
    <w:rsid w:val="00557090"/>
    <w:rsid w:val="00577092"/>
    <w:rsid w:val="00586847"/>
    <w:rsid w:val="005A526D"/>
    <w:rsid w:val="005A61E1"/>
    <w:rsid w:val="005B1627"/>
    <w:rsid w:val="005B3FDC"/>
    <w:rsid w:val="005C4C1E"/>
    <w:rsid w:val="005E0DDC"/>
    <w:rsid w:val="005E154F"/>
    <w:rsid w:val="00615E0F"/>
    <w:rsid w:val="00616EE6"/>
    <w:rsid w:val="00624D23"/>
    <w:rsid w:val="00632356"/>
    <w:rsid w:val="00632E27"/>
    <w:rsid w:val="00633376"/>
    <w:rsid w:val="006402E7"/>
    <w:rsid w:val="0064419E"/>
    <w:rsid w:val="00650EC7"/>
    <w:rsid w:val="0065620B"/>
    <w:rsid w:val="006654C5"/>
    <w:rsid w:val="00680A58"/>
    <w:rsid w:val="00686A31"/>
    <w:rsid w:val="006C77C9"/>
    <w:rsid w:val="006E1F61"/>
    <w:rsid w:val="006F12F3"/>
    <w:rsid w:val="0070706E"/>
    <w:rsid w:val="007237D6"/>
    <w:rsid w:val="00726010"/>
    <w:rsid w:val="007260AA"/>
    <w:rsid w:val="00726539"/>
    <w:rsid w:val="007473C7"/>
    <w:rsid w:val="00755763"/>
    <w:rsid w:val="00762761"/>
    <w:rsid w:val="007661B6"/>
    <w:rsid w:val="00767FDD"/>
    <w:rsid w:val="0078203C"/>
    <w:rsid w:val="00785D24"/>
    <w:rsid w:val="007E0F5C"/>
    <w:rsid w:val="007F4B25"/>
    <w:rsid w:val="008033B2"/>
    <w:rsid w:val="00814719"/>
    <w:rsid w:val="00833EB9"/>
    <w:rsid w:val="008406D3"/>
    <w:rsid w:val="0084110A"/>
    <w:rsid w:val="008422CB"/>
    <w:rsid w:val="00845460"/>
    <w:rsid w:val="00850C56"/>
    <w:rsid w:val="00852C28"/>
    <w:rsid w:val="008547D2"/>
    <w:rsid w:val="00872FEE"/>
    <w:rsid w:val="00874BB2"/>
    <w:rsid w:val="008850E1"/>
    <w:rsid w:val="008965CB"/>
    <w:rsid w:val="00897492"/>
    <w:rsid w:val="008C5BBF"/>
    <w:rsid w:val="008C65A0"/>
    <w:rsid w:val="008D0A7D"/>
    <w:rsid w:val="008E5E38"/>
    <w:rsid w:val="00900B02"/>
    <w:rsid w:val="009122F6"/>
    <w:rsid w:val="00913E00"/>
    <w:rsid w:val="009306DD"/>
    <w:rsid w:val="00940822"/>
    <w:rsid w:val="009418DF"/>
    <w:rsid w:val="00964511"/>
    <w:rsid w:val="00975B71"/>
    <w:rsid w:val="00976EE9"/>
    <w:rsid w:val="009811EB"/>
    <w:rsid w:val="009B53F9"/>
    <w:rsid w:val="009B7305"/>
    <w:rsid w:val="009C02E7"/>
    <w:rsid w:val="009C7F74"/>
    <w:rsid w:val="009F2E32"/>
    <w:rsid w:val="00A00098"/>
    <w:rsid w:val="00A01DAD"/>
    <w:rsid w:val="00A5426A"/>
    <w:rsid w:val="00A60BA2"/>
    <w:rsid w:val="00A63EF5"/>
    <w:rsid w:val="00A97F11"/>
    <w:rsid w:val="00AA756F"/>
    <w:rsid w:val="00AC3C43"/>
    <w:rsid w:val="00AD38EA"/>
    <w:rsid w:val="00AD738A"/>
    <w:rsid w:val="00AD7F53"/>
    <w:rsid w:val="00AE6E51"/>
    <w:rsid w:val="00AE7616"/>
    <w:rsid w:val="00AF31D3"/>
    <w:rsid w:val="00AF6ABA"/>
    <w:rsid w:val="00B055C4"/>
    <w:rsid w:val="00B12E42"/>
    <w:rsid w:val="00B27E0D"/>
    <w:rsid w:val="00B425A2"/>
    <w:rsid w:val="00B604EC"/>
    <w:rsid w:val="00B66BA4"/>
    <w:rsid w:val="00B66F11"/>
    <w:rsid w:val="00B738D1"/>
    <w:rsid w:val="00BA75BF"/>
    <w:rsid w:val="00BC4AC6"/>
    <w:rsid w:val="00BC709D"/>
    <w:rsid w:val="00BD4D72"/>
    <w:rsid w:val="00BD5AA2"/>
    <w:rsid w:val="00BE05B7"/>
    <w:rsid w:val="00BE3746"/>
    <w:rsid w:val="00BE7840"/>
    <w:rsid w:val="00BF2553"/>
    <w:rsid w:val="00BF3591"/>
    <w:rsid w:val="00C05408"/>
    <w:rsid w:val="00C26048"/>
    <w:rsid w:val="00C27001"/>
    <w:rsid w:val="00C477CF"/>
    <w:rsid w:val="00C51701"/>
    <w:rsid w:val="00C63201"/>
    <w:rsid w:val="00C667E9"/>
    <w:rsid w:val="00C814FF"/>
    <w:rsid w:val="00C86C3B"/>
    <w:rsid w:val="00CB1C8E"/>
    <w:rsid w:val="00CB524E"/>
    <w:rsid w:val="00CC0D0A"/>
    <w:rsid w:val="00CD55F0"/>
    <w:rsid w:val="00CE4416"/>
    <w:rsid w:val="00CF0BF3"/>
    <w:rsid w:val="00CF6366"/>
    <w:rsid w:val="00D00460"/>
    <w:rsid w:val="00D10010"/>
    <w:rsid w:val="00D10035"/>
    <w:rsid w:val="00D14025"/>
    <w:rsid w:val="00D2402E"/>
    <w:rsid w:val="00D273B6"/>
    <w:rsid w:val="00D46156"/>
    <w:rsid w:val="00D462DE"/>
    <w:rsid w:val="00D629C9"/>
    <w:rsid w:val="00D62C45"/>
    <w:rsid w:val="00D655AA"/>
    <w:rsid w:val="00D66E18"/>
    <w:rsid w:val="00D67141"/>
    <w:rsid w:val="00D84F36"/>
    <w:rsid w:val="00DC488A"/>
    <w:rsid w:val="00DD483D"/>
    <w:rsid w:val="00DE740A"/>
    <w:rsid w:val="00E00FD9"/>
    <w:rsid w:val="00E01471"/>
    <w:rsid w:val="00E04E38"/>
    <w:rsid w:val="00E277C3"/>
    <w:rsid w:val="00E279E2"/>
    <w:rsid w:val="00E3121E"/>
    <w:rsid w:val="00E41128"/>
    <w:rsid w:val="00E4353B"/>
    <w:rsid w:val="00E47103"/>
    <w:rsid w:val="00E516AF"/>
    <w:rsid w:val="00E51FD1"/>
    <w:rsid w:val="00E55CC3"/>
    <w:rsid w:val="00E55DCA"/>
    <w:rsid w:val="00E6492B"/>
    <w:rsid w:val="00E70E02"/>
    <w:rsid w:val="00E7112B"/>
    <w:rsid w:val="00E862C9"/>
    <w:rsid w:val="00E86DC2"/>
    <w:rsid w:val="00EA1E0D"/>
    <w:rsid w:val="00EA6099"/>
    <w:rsid w:val="00EB6882"/>
    <w:rsid w:val="00EB6FCA"/>
    <w:rsid w:val="00EB7073"/>
    <w:rsid w:val="00F0147A"/>
    <w:rsid w:val="00F0474D"/>
    <w:rsid w:val="00F13970"/>
    <w:rsid w:val="00F261B9"/>
    <w:rsid w:val="00F42600"/>
    <w:rsid w:val="00F443DA"/>
    <w:rsid w:val="00F52E62"/>
    <w:rsid w:val="00F6341A"/>
    <w:rsid w:val="00F71DE8"/>
    <w:rsid w:val="00F934D3"/>
    <w:rsid w:val="00FB7B63"/>
    <w:rsid w:val="00FC5CD9"/>
    <w:rsid w:val="00FC7069"/>
    <w:rsid w:val="00FE7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BF59"/>
  <w15:docId w15:val="{8FC7B3A3-A3DA-4D8A-AD76-CB6E8E81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4">
    <w:name w:val="heading 4"/>
    <w:basedOn w:val="Normal"/>
    <w:next w:val="BodyText"/>
    <w:link w:val="Heading4Char"/>
    <w:uiPriority w:val="9"/>
    <w:unhideWhenUsed/>
    <w:qFormat/>
    <w:rsid w:val="00BE05B7"/>
    <w:pPr>
      <w:keepNext/>
      <w:keepLines/>
      <w:suppressAutoHyphens w:val="0"/>
      <w:spacing w:before="80" w:after="40"/>
      <w:outlineLvl w:val="3"/>
    </w:pPr>
    <w:rPr>
      <w:rFonts w:eastAsiaTheme="majorEastAsia"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link w:val="CaptionChar"/>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NoSpacing">
    <w:name w:val="No Spacing"/>
    <w:uiPriority w:val="1"/>
    <w:qFormat/>
    <w:rsid w:val="0070706E"/>
    <w:pPr>
      <w:suppressAutoHyphens/>
    </w:pPr>
    <w:rPr>
      <w:sz w:val="24"/>
      <w:szCs w:val="24"/>
      <w:lang w:val="en-US"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character" w:customStyle="1" w:styleId="Heading4Char">
    <w:name w:val="Heading 4 Char"/>
    <w:basedOn w:val="DefaultParagraphFont"/>
    <w:link w:val="Heading4"/>
    <w:uiPriority w:val="9"/>
    <w:rsid w:val="00BE05B7"/>
    <w:rPr>
      <w:rFonts w:eastAsiaTheme="majorEastAsia" w:cstheme="majorBidi"/>
      <w:i/>
      <w:iCs/>
      <w:color w:val="2F5496" w:themeColor="accent1" w:themeShade="BF"/>
      <w:sz w:val="24"/>
      <w:szCs w:val="24"/>
      <w:lang w:val="en-US" w:eastAsia="en-US"/>
    </w:rPr>
  </w:style>
  <w:style w:type="character" w:customStyle="1" w:styleId="CaptionChar">
    <w:name w:val="Caption Char"/>
    <w:basedOn w:val="DefaultParagraphFont"/>
    <w:link w:val="Caption"/>
    <w:rsid w:val="0084110A"/>
    <w:rPr>
      <w:rFonts w:cs="Tahoma"/>
      <w:i/>
      <w:iCs/>
      <w:sz w:val="24"/>
      <w:szCs w:val="24"/>
      <w:lang w:val="en-US" w:eastAsia="ar-SA"/>
    </w:rPr>
  </w:style>
  <w:style w:type="paragraph" w:customStyle="1" w:styleId="Compact">
    <w:name w:val="Compact"/>
    <w:basedOn w:val="BodyText"/>
    <w:qFormat/>
    <w:rsid w:val="0084110A"/>
    <w:pPr>
      <w:suppressAutoHyphens w:val="0"/>
      <w:spacing w:before="36" w:after="36"/>
    </w:pPr>
    <w:rPr>
      <w:rFonts w:eastAsiaTheme="minorHAnsi" w:cstheme="minorBidi"/>
      <w:lang w:eastAsia="en-US"/>
    </w:rPr>
  </w:style>
  <w:style w:type="table" w:customStyle="1" w:styleId="Table">
    <w:name w:val="Table"/>
    <w:semiHidden/>
    <w:unhideWhenUsed/>
    <w:qFormat/>
    <w:rsid w:val="0084110A"/>
    <w:pPr>
      <w:spacing w:after="200"/>
    </w:pPr>
    <w:rPr>
      <w:rFonts w:asciiTheme="minorHAnsi" w:eastAsiaTheme="minorHAnsi"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UnresolvedMention">
    <w:name w:val="Unresolved Mention"/>
    <w:basedOn w:val="DefaultParagraphFont"/>
    <w:uiPriority w:val="99"/>
    <w:semiHidden/>
    <w:unhideWhenUsed/>
    <w:rsid w:val="00912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753577983">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www.journal.foundae.com/index.php/oler/index" TargetMode="External"/><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194EA-7A84-430C-8344-D0006635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24</Pages>
  <Words>23668</Words>
  <Characters>134909</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158261</CharactersWithSpaces>
  <SharedDoc>false</SharedDoc>
  <HLinks>
    <vt:vector size="6" baseType="variant">
      <vt:variant>
        <vt:i4>3211308</vt:i4>
      </vt:variant>
      <vt:variant>
        <vt:i4>6</vt:i4>
      </vt:variant>
      <vt:variant>
        <vt:i4>0</vt:i4>
      </vt:variant>
      <vt:variant>
        <vt:i4>5</vt:i4>
      </vt:variant>
      <vt:variant>
        <vt:lpwstr>https://ejournal.radenintan.ac.id/index.php/IJSME/index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Hera Anis Kartika</cp:lastModifiedBy>
  <cp:revision>5</cp:revision>
  <cp:lastPrinted>2025-04-19T04:27:00Z</cp:lastPrinted>
  <dcterms:created xsi:type="dcterms:W3CDTF">2025-04-19T04:29:00Z</dcterms:created>
  <dcterms:modified xsi:type="dcterms:W3CDTF">2025-04-21T04:12:00Z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a257e15c-93bf-31dc-b9f5-704b2db4781d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