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FD95F" w14:textId="77777777" w:rsidR="00BD3F0E" w:rsidRPr="009C1AD8" w:rsidRDefault="00BD3F0E">
      <w:pPr>
        <w:spacing w:line="276" w:lineRule="auto"/>
        <w:rPr>
          <w:rFonts w:ascii="Cambria" w:eastAsia="Cambria" w:hAnsi="Cambria" w:cs="Cambria"/>
          <w:b/>
          <w:sz w:val="28"/>
          <w:szCs w:val="28"/>
        </w:rPr>
      </w:pPr>
    </w:p>
    <w:p w14:paraId="3BC2FC0F" w14:textId="77777777" w:rsidR="00BD3F0E" w:rsidRPr="009C1AD8" w:rsidRDefault="00D243F3">
      <w:pPr>
        <w:jc w:val="center"/>
        <w:rPr>
          <w:rFonts w:ascii="Cambria" w:eastAsia="Cambria" w:hAnsi="Cambria" w:cs="Cambria"/>
          <w:b/>
          <w:sz w:val="28"/>
          <w:szCs w:val="28"/>
        </w:rPr>
      </w:pPr>
      <w:r w:rsidRPr="009C1AD8">
        <w:rPr>
          <w:rFonts w:ascii="Cambria" w:eastAsia="Cambria" w:hAnsi="Cambria" w:cs="Cambria"/>
          <w:b/>
          <w:sz w:val="28"/>
          <w:szCs w:val="28"/>
        </w:rPr>
        <w:t>Assessing the Amount of Data per Second to Measure Tactical Variables in Team Sports</w:t>
      </w:r>
    </w:p>
    <w:p w14:paraId="424CB087" w14:textId="77777777" w:rsidR="00BD3F0E" w:rsidRPr="009C1AD8" w:rsidRDefault="00A4168E">
      <w:pPr>
        <w:tabs>
          <w:tab w:val="center" w:pos="4676"/>
          <w:tab w:val="left" w:pos="9320"/>
          <w:tab w:val="right" w:pos="9353"/>
        </w:tabs>
        <w:rPr>
          <w:rFonts w:ascii="Cambria" w:eastAsia="Cambria" w:hAnsi="Cambria" w:cs="Cambria"/>
          <w:b/>
          <w:sz w:val="28"/>
          <w:szCs w:val="28"/>
        </w:rPr>
      </w:pPr>
      <w:r w:rsidRPr="009C1AD8">
        <w:rPr>
          <w:rFonts w:ascii="Cambria" w:eastAsia="Cambria" w:hAnsi="Cambria" w:cs="Cambria"/>
          <w:b/>
          <w:sz w:val="28"/>
          <w:szCs w:val="28"/>
        </w:rPr>
        <w:tab/>
      </w:r>
      <w:r w:rsidRPr="009C1AD8">
        <w:rPr>
          <w:rFonts w:ascii="Cambria" w:eastAsia="Cambria" w:hAnsi="Cambria" w:cs="Cambria"/>
          <w:b/>
          <w:sz w:val="28"/>
          <w:szCs w:val="28"/>
        </w:rPr>
        <w:tab/>
      </w:r>
      <w:r w:rsidRPr="009C1AD8">
        <w:rPr>
          <w:rFonts w:ascii="Cambria" w:eastAsia="Cambria" w:hAnsi="Cambria" w:cs="Cambria"/>
          <w:b/>
          <w:sz w:val="28"/>
          <w:szCs w:val="28"/>
        </w:rPr>
        <w:tab/>
      </w:r>
    </w:p>
    <w:p w14:paraId="131D0629" w14:textId="77777777" w:rsidR="00BD3F0E" w:rsidRPr="009C1AD8" w:rsidRDefault="00BD3F0E">
      <w:pPr>
        <w:jc w:val="center"/>
        <w:rPr>
          <w:rFonts w:ascii="Cambria" w:eastAsia="Cambria" w:hAnsi="Cambria" w:cs="Cambria"/>
          <w:b/>
        </w:rPr>
      </w:pPr>
    </w:p>
    <w:p w14:paraId="5B820193" w14:textId="77777777" w:rsidR="00BD3F0E" w:rsidRPr="009C1AD8" w:rsidRDefault="00BD3F0E">
      <w:pPr>
        <w:jc w:val="center"/>
        <w:rPr>
          <w:rFonts w:ascii="Cambria" w:eastAsia="Cambria" w:hAnsi="Cambria" w:cs="Cambria"/>
        </w:rPr>
      </w:pPr>
      <w:bookmarkStart w:id="0" w:name="_heading=h.gjdgxs" w:colFirst="0" w:colLast="0"/>
      <w:bookmarkEnd w:id="0"/>
    </w:p>
    <w:p w14:paraId="25834476" w14:textId="77777777" w:rsidR="00BD3F0E" w:rsidRPr="009C1AD8" w:rsidRDefault="00BD3F0E">
      <w:pPr>
        <w:jc w:val="center"/>
        <w:rPr>
          <w:rFonts w:ascii="Cambria" w:eastAsia="Cambria" w:hAnsi="Cambria" w:cs="Cambria"/>
        </w:rPr>
      </w:pPr>
    </w:p>
    <w:tbl>
      <w:tblPr>
        <w:tblStyle w:val="a3"/>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385"/>
        <w:gridCol w:w="6379"/>
      </w:tblGrid>
      <w:tr w:rsidR="00BD3F0E" w:rsidRPr="009C1AD8" w14:paraId="6B6AE4F0" w14:textId="77777777">
        <w:tc>
          <w:tcPr>
            <w:tcW w:w="2592" w:type="dxa"/>
            <w:tcBorders>
              <w:top w:val="single" w:sz="4" w:space="0" w:color="000000"/>
              <w:left w:val="nil"/>
              <w:bottom w:val="single" w:sz="4" w:space="0" w:color="000000"/>
              <w:right w:val="nil"/>
            </w:tcBorders>
          </w:tcPr>
          <w:p w14:paraId="37E63776" w14:textId="77777777" w:rsidR="00BD3F0E" w:rsidRPr="009C1AD8" w:rsidRDefault="00A4168E">
            <w:pPr>
              <w:jc w:val="both"/>
              <w:rPr>
                <w:rFonts w:ascii="Cambria" w:eastAsia="Cambria" w:hAnsi="Cambria" w:cs="Cambria"/>
                <w:b/>
                <w:sz w:val="18"/>
                <w:szCs w:val="18"/>
              </w:rPr>
            </w:pPr>
            <w:r w:rsidRPr="009C1AD8">
              <w:rPr>
                <w:rFonts w:ascii="Cambria" w:eastAsia="Cambria" w:hAnsi="Cambria" w:cs="Cambria"/>
                <w:b/>
                <w:sz w:val="18"/>
                <w:szCs w:val="18"/>
              </w:rPr>
              <w:t xml:space="preserve">Article Info </w:t>
            </w:r>
          </w:p>
        </w:tc>
        <w:tc>
          <w:tcPr>
            <w:tcW w:w="385" w:type="dxa"/>
            <w:tcBorders>
              <w:top w:val="single" w:sz="4" w:space="0" w:color="000000"/>
              <w:left w:val="nil"/>
              <w:bottom w:val="nil"/>
              <w:right w:val="nil"/>
            </w:tcBorders>
          </w:tcPr>
          <w:p w14:paraId="15EA867B" w14:textId="77777777" w:rsidR="00BD3F0E" w:rsidRPr="009C1AD8" w:rsidRDefault="00BD3F0E">
            <w:pPr>
              <w:jc w:val="center"/>
              <w:rPr>
                <w:rFonts w:ascii="Cambria" w:eastAsia="Cambria" w:hAnsi="Cambria" w:cs="Cambria"/>
                <w:sz w:val="18"/>
                <w:szCs w:val="18"/>
              </w:rPr>
            </w:pPr>
          </w:p>
        </w:tc>
        <w:tc>
          <w:tcPr>
            <w:tcW w:w="6379" w:type="dxa"/>
            <w:tcBorders>
              <w:top w:val="single" w:sz="4" w:space="0" w:color="000000"/>
              <w:left w:val="nil"/>
              <w:bottom w:val="single" w:sz="4" w:space="0" w:color="000000"/>
              <w:right w:val="nil"/>
            </w:tcBorders>
          </w:tcPr>
          <w:p w14:paraId="6135E3A4" w14:textId="77777777" w:rsidR="00BD3F0E" w:rsidRPr="009C1AD8" w:rsidRDefault="00A4168E">
            <w:pPr>
              <w:rPr>
                <w:rFonts w:ascii="Cambria" w:eastAsia="Cambria" w:hAnsi="Cambria" w:cs="Cambria"/>
                <w:color w:val="000000"/>
                <w:sz w:val="18"/>
                <w:szCs w:val="18"/>
              </w:rPr>
            </w:pPr>
            <w:r w:rsidRPr="009C1AD8">
              <w:rPr>
                <w:rFonts w:ascii="Cambria" w:eastAsia="Cambria" w:hAnsi="Cambria" w:cs="Cambria"/>
                <w:b/>
                <w:sz w:val="18"/>
                <w:szCs w:val="18"/>
              </w:rPr>
              <w:t xml:space="preserve">Abstract </w:t>
            </w:r>
          </w:p>
        </w:tc>
      </w:tr>
      <w:tr w:rsidR="00BD3F0E" w:rsidRPr="009C1AD8" w14:paraId="3D65B7B4" w14:textId="77777777">
        <w:trPr>
          <w:trHeight w:val="1268"/>
        </w:trPr>
        <w:tc>
          <w:tcPr>
            <w:tcW w:w="2592" w:type="dxa"/>
            <w:tcBorders>
              <w:top w:val="single" w:sz="4" w:space="0" w:color="000000"/>
              <w:left w:val="nil"/>
              <w:bottom w:val="single" w:sz="4" w:space="0" w:color="000000"/>
              <w:right w:val="nil"/>
            </w:tcBorders>
          </w:tcPr>
          <w:p w14:paraId="7EDDCDA2" w14:textId="77777777" w:rsidR="00BD3F0E" w:rsidRPr="009C1AD8" w:rsidRDefault="00BD3F0E">
            <w:pPr>
              <w:jc w:val="both"/>
              <w:rPr>
                <w:rFonts w:ascii="Cambria" w:eastAsia="Cambria" w:hAnsi="Cambria" w:cs="Cambria"/>
                <w:b/>
                <w:i/>
                <w:sz w:val="18"/>
                <w:szCs w:val="18"/>
              </w:rPr>
            </w:pPr>
          </w:p>
          <w:p w14:paraId="1E26C933" w14:textId="77777777" w:rsidR="00BD3F0E" w:rsidRPr="009C1AD8" w:rsidRDefault="00A4168E">
            <w:pPr>
              <w:spacing w:after="120"/>
              <w:jc w:val="both"/>
              <w:rPr>
                <w:rFonts w:ascii="Cambria" w:eastAsia="Cambria" w:hAnsi="Cambria" w:cs="Cambria"/>
                <w:b/>
                <w:i/>
                <w:sz w:val="18"/>
                <w:szCs w:val="18"/>
              </w:rPr>
            </w:pPr>
            <w:r w:rsidRPr="009C1AD8">
              <w:rPr>
                <w:rFonts w:ascii="Cambria" w:eastAsia="Cambria" w:hAnsi="Cambria" w:cs="Cambria"/>
                <w:b/>
                <w:i/>
                <w:sz w:val="18"/>
                <w:szCs w:val="18"/>
              </w:rPr>
              <w:t>Article history:</w:t>
            </w:r>
          </w:p>
          <w:p w14:paraId="51015B0E"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Received: Month XX, 20XX</w:t>
            </w:r>
          </w:p>
          <w:p w14:paraId="3C0F0466"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Revised: Month XX, 20XX</w:t>
            </w:r>
          </w:p>
          <w:p w14:paraId="27288E81"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Accepted: Month XX, 20XX</w:t>
            </w:r>
          </w:p>
          <w:p w14:paraId="59EFAF59"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(Cambria 9)</w:t>
            </w:r>
          </w:p>
        </w:tc>
        <w:tc>
          <w:tcPr>
            <w:tcW w:w="385" w:type="dxa"/>
            <w:vMerge w:val="restart"/>
            <w:tcBorders>
              <w:top w:val="nil"/>
              <w:left w:val="nil"/>
              <w:bottom w:val="nil"/>
              <w:right w:val="nil"/>
            </w:tcBorders>
          </w:tcPr>
          <w:p w14:paraId="5B26C3EB" w14:textId="77777777" w:rsidR="00BD3F0E" w:rsidRPr="009C1AD8" w:rsidRDefault="00BD3F0E">
            <w:pPr>
              <w:jc w:val="both"/>
              <w:rPr>
                <w:rFonts w:ascii="Cambria" w:eastAsia="Cambria" w:hAnsi="Cambria" w:cs="Cambria"/>
                <w:sz w:val="18"/>
                <w:szCs w:val="18"/>
              </w:rPr>
            </w:pPr>
          </w:p>
        </w:tc>
        <w:tc>
          <w:tcPr>
            <w:tcW w:w="6379" w:type="dxa"/>
            <w:vMerge w:val="restart"/>
            <w:tcBorders>
              <w:top w:val="single" w:sz="4" w:space="0" w:color="000000"/>
              <w:left w:val="nil"/>
              <w:right w:val="nil"/>
            </w:tcBorders>
          </w:tcPr>
          <w:p w14:paraId="7936FF5C" w14:textId="77777777" w:rsidR="00BD3F0E" w:rsidRPr="009C1AD8" w:rsidRDefault="00BD3F0E">
            <w:pPr>
              <w:jc w:val="both"/>
              <w:rPr>
                <w:rFonts w:ascii="Cambria" w:eastAsia="Cambria" w:hAnsi="Cambria" w:cs="Cambria"/>
                <w:color w:val="000000"/>
                <w:sz w:val="18"/>
                <w:szCs w:val="18"/>
              </w:rPr>
            </w:pPr>
          </w:p>
          <w:p w14:paraId="4DEF6954" w14:textId="77777777" w:rsidR="00BD3F0E" w:rsidRPr="009C1AD8" w:rsidRDefault="00A4168E">
            <w:pPr>
              <w:jc w:val="both"/>
              <w:rPr>
                <w:rFonts w:ascii="Cambria" w:eastAsia="Cambria" w:hAnsi="Cambria" w:cs="Calibri"/>
                <w:color w:val="000000"/>
                <w:sz w:val="18"/>
                <w:szCs w:val="18"/>
              </w:rPr>
            </w:pPr>
            <w:r w:rsidRPr="009C1AD8">
              <w:rPr>
                <w:rFonts w:ascii="Cambria" w:eastAsia="Cambria" w:hAnsi="Cambria" w:cs="Calibri"/>
                <w:b/>
                <w:color w:val="000000"/>
                <w:sz w:val="18"/>
                <w:szCs w:val="18"/>
              </w:rPr>
              <w:t>ABSTRACT</w:t>
            </w:r>
          </w:p>
          <w:p w14:paraId="74A88D8F" w14:textId="77777777" w:rsidR="00BD3F0E" w:rsidRPr="009C1AD8" w:rsidRDefault="00A4168E">
            <w:pPr>
              <w:jc w:val="both"/>
              <w:rPr>
                <w:rFonts w:ascii="Cambria" w:eastAsia="Cambria" w:hAnsi="Cambria" w:cs="Calibri"/>
                <w:color w:val="000000"/>
                <w:sz w:val="18"/>
                <w:szCs w:val="18"/>
              </w:rPr>
            </w:pPr>
            <w:r w:rsidRPr="009C1AD8">
              <w:rPr>
                <w:rFonts w:ascii="Cambria" w:eastAsia="Cambria" w:hAnsi="Cambria" w:cs="Calibri"/>
                <w:color w:val="000000"/>
                <w:sz w:val="18"/>
                <w:szCs w:val="18"/>
              </w:rPr>
              <w:t>Background of study:</w:t>
            </w:r>
            <w:r w:rsidRPr="009C1AD8">
              <w:rPr>
                <w:rFonts w:ascii="Cambria" w:hAnsi="Cambria" w:cs="Calibri"/>
                <w:sz w:val="18"/>
                <w:szCs w:val="18"/>
                <w:lang w:val="en-GB"/>
              </w:rPr>
              <w:t xml:space="preserve"> Sampling frequency of microsensors that measure the position of the players in team sports is a variable that could affect the accuracy of the measurement.</w:t>
            </w:r>
          </w:p>
          <w:p w14:paraId="014BA32F" w14:textId="77777777" w:rsidR="00BD3F0E" w:rsidRPr="009C1AD8" w:rsidRDefault="00A4168E">
            <w:pPr>
              <w:jc w:val="both"/>
              <w:rPr>
                <w:rFonts w:ascii="Cambria" w:eastAsia="Cambria" w:hAnsi="Cambria" w:cs="Calibri"/>
                <w:color w:val="000000"/>
                <w:sz w:val="18"/>
                <w:szCs w:val="18"/>
              </w:rPr>
            </w:pPr>
            <w:r w:rsidRPr="009C1AD8">
              <w:rPr>
                <w:rFonts w:ascii="Cambria" w:eastAsia="Cambria" w:hAnsi="Cambria" w:cs="Calibri"/>
                <w:color w:val="000000"/>
                <w:sz w:val="18"/>
                <w:szCs w:val="18"/>
              </w:rPr>
              <w:t>Aims and scope of paper:</w:t>
            </w:r>
            <w:r w:rsidRPr="009C1AD8">
              <w:rPr>
                <w:rFonts w:ascii="Cambria" w:hAnsi="Cambria" w:cs="Calibri"/>
                <w:sz w:val="18"/>
                <w:szCs w:val="18"/>
              </w:rPr>
              <w:t xml:space="preserve"> The aim of the present study was to assess the impact of the sampling frequency on the measurement of a collective tactical </w:t>
            </w:r>
            <w:proofErr w:type="spellStart"/>
            <w:r w:rsidRPr="009C1AD8">
              <w:rPr>
                <w:rFonts w:ascii="Cambria" w:hAnsi="Cambria" w:cs="Calibri"/>
                <w:sz w:val="18"/>
                <w:szCs w:val="18"/>
              </w:rPr>
              <w:t>behaviour</w:t>
            </w:r>
            <w:proofErr w:type="spellEnd"/>
            <w:r w:rsidRPr="009C1AD8">
              <w:rPr>
                <w:rFonts w:ascii="Cambria" w:hAnsi="Cambria" w:cs="Calibri"/>
                <w:sz w:val="18"/>
                <w:szCs w:val="18"/>
              </w:rPr>
              <w:t xml:space="preserve"> variable: the total area (TA).</w:t>
            </w:r>
          </w:p>
          <w:p w14:paraId="4DBFFBD8" w14:textId="77777777" w:rsidR="00BD3F0E" w:rsidRPr="009C1AD8" w:rsidRDefault="00A4168E">
            <w:pPr>
              <w:jc w:val="both"/>
              <w:rPr>
                <w:rFonts w:ascii="Cambria" w:eastAsia="Cambria" w:hAnsi="Cambria" w:cs="Calibri"/>
                <w:color w:val="000000"/>
                <w:sz w:val="18"/>
                <w:szCs w:val="18"/>
              </w:rPr>
            </w:pPr>
            <w:r w:rsidRPr="009C1AD8">
              <w:rPr>
                <w:rFonts w:ascii="Cambria" w:eastAsia="Cambria" w:hAnsi="Cambria" w:cs="Calibri"/>
                <w:color w:val="000000"/>
                <w:sz w:val="18"/>
                <w:szCs w:val="18"/>
              </w:rPr>
              <w:t>Methods:</w:t>
            </w:r>
            <w:r w:rsidRPr="009C1AD8">
              <w:rPr>
                <w:rFonts w:ascii="Cambria" w:hAnsi="Cambria" w:cs="Calibri"/>
                <w:sz w:val="18"/>
                <w:szCs w:val="18"/>
              </w:rPr>
              <w:t xml:space="preserve"> </w:t>
            </w:r>
            <w:commentRangeStart w:id="1"/>
            <w:r w:rsidRPr="009C1AD8">
              <w:rPr>
                <w:rFonts w:ascii="Cambria" w:hAnsi="Cambria" w:cs="Calibri"/>
                <w:sz w:val="18"/>
                <w:szCs w:val="18"/>
              </w:rPr>
              <w:t xml:space="preserve">Sixteen young U16 male soccer players participated in the study. </w:t>
            </w:r>
            <w:commentRangeStart w:id="2"/>
            <w:r w:rsidRPr="009C1AD8">
              <w:rPr>
                <w:rFonts w:ascii="Cambria" w:hAnsi="Cambria" w:cs="Calibri"/>
                <w:sz w:val="18"/>
                <w:szCs w:val="18"/>
              </w:rPr>
              <w:t>They carried out three controlled tasks</w:t>
            </w:r>
            <w:commentRangeEnd w:id="2"/>
            <w:r w:rsidR="00DB7783">
              <w:rPr>
                <w:rStyle w:val="CommentReference"/>
              </w:rPr>
              <w:commentReference w:id="2"/>
            </w:r>
            <w:r w:rsidRPr="009C1AD8">
              <w:rPr>
                <w:rFonts w:ascii="Cambria" w:hAnsi="Cambria" w:cs="Calibri"/>
                <w:sz w:val="18"/>
                <w:szCs w:val="18"/>
              </w:rPr>
              <w:t xml:space="preserve">. Tactical variable was measured by a radio ultra-wide band technology (IMU; WIMU PROTM, </w:t>
            </w:r>
            <w:proofErr w:type="spellStart"/>
            <w:r w:rsidRPr="009C1AD8">
              <w:rPr>
                <w:rFonts w:ascii="Cambria" w:hAnsi="Cambria" w:cs="Calibri"/>
                <w:sz w:val="18"/>
                <w:szCs w:val="18"/>
              </w:rPr>
              <w:t>RealTrack</w:t>
            </w:r>
            <w:proofErr w:type="spellEnd"/>
            <w:r w:rsidRPr="009C1AD8">
              <w:rPr>
                <w:rFonts w:ascii="Cambria" w:hAnsi="Cambria" w:cs="Calibri"/>
                <w:sz w:val="18"/>
                <w:szCs w:val="18"/>
              </w:rPr>
              <w:t xml:space="preserve"> Systems, Almeria, Spain). For TA different sampling frequencies were applied (</w:t>
            </w:r>
            <w:proofErr w:type="gramStart"/>
            <w:r w:rsidRPr="009C1AD8">
              <w:rPr>
                <w:rFonts w:ascii="Cambria" w:hAnsi="Cambria" w:cs="Calibri"/>
                <w:sz w:val="18"/>
                <w:szCs w:val="18"/>
              </w:rPr>
              <w:t>i.e.</w:t>
            </w:r>
            <w:proofErr w:type="gramEnd"/>
            <w:r w:rsidRPr="009C1AD8">
              <w:rPr>
                <w:rFonts w:ascii="Cambria" w:hAnsi="Cambria" w:cs="Calibri"/>
                <w:sz w:val="18"/>
                <w:szCs w:val="18"/>
              </w:rPr>
              <w:t xml:space="preserve"> 1 Hz, 2 Hz, 4 Hz and 10 Hz).</w:t>
            </w:r>
            <w:commentRangeEnd w:id="1"/>
            <w:r w:rsidR="00EA1363">
              <w:rPr>
                <w:rStyle w:val="CommentReference"/>
              </w:rPr>
              <w:commentReference w:id="1"/>
            </w:r>
          </w:p>
          <w:p w14:paraId="592D6908" w14:textId="77777777" w:rsidR="00A4168E" w:rsidRPr="009C1AD8" w:rsidRDefault="00A4168E" w:rsidP="00A4168E">
            <w:pPr>
              <w:jc w:val="both"/>
              <w:rPr>
                <w:rFonts w:ascii="Cambria" w:eastAsia="Cambria" w:hAnsi="Cambria" w:cs="Calibri"/>
                <w:color w:val="000000"/>
                <w:sz w:val="18"/>
                <w:szCs w:val="18"/>
              </w:rPr>
            </w:pPr>
            <w:commentRangeStart w:id="3"/>
            <w:r w:rsidRPr="009C1AD8">
              <w:rPr>
                <w:rFonts w:ascii="Cambria" w:eastAsia="Cambria" w:hAnsi="Cambria" w:cs="Calibri"/>
                <w:color w:val="000000"/>
                <w:sz w:val="18"/>
                <w:szCs w:val="18"/>
              </w:rPr>
              <w:t>Result:</w:t>
            </w:r>
            <w:r w:rsidRPr="009C1AD8">
              <w:rPr>
                <w:rFonts w:ascii="Cambria" w:hAnsi="Cambria" w:cs="Calibri"/>
                <w:sz w:val="18"/>
                <w:szCs w:val="18"/>
              </w:rPr>
              <w:t xml:space="preserve"> Trivial differences (</w:t>
            </w:r>
            <w:r w:rsidRPr="009C1AD8">
              <w:rPr>
                <w:rFonts w:ascii="Cambria" w:hAnsi="Cambria" w:cs="Calibri"/>
                <w:sz w:val="18"/>
                <w:szCs w:val="18"/>
                <w:lang w:val="en-GB"/>
              </w:rPr>
              <w:t>p&gt; 0.05</w:t>
            </w:r>
            <w:r w:rsidRPr="009C1AD8">
              <w:rPr>
                <w:rFonts w:ascii="Cambria" w:hAnsi="Cambria" w:cs="Calibri"/>
                <w:sz w:val="18"/>
                <w:szCs w:val="18"/>
              </w:rPr>
              <w:t>) were found between the TA values across the different amounts of inserted data per second across Task 1 (</w:t>
            </w:r>
            <w:r w:rsidRPr="009C1AD8">
              <w:rPr>
                <w:rFonts w:ascii="Cambria" w:hAnsi="Cambria" w:cs="Calibri"/>
                <w:sz w:val="18"/>
                <w:szCs w:val="18"/>
                <w:lang w:val="en-GB"/>
              </w:rPr>
              <w:t>ES= 0.04-0.08</w:t>
            </w:r>
            <w:r w:rsidRPr="009C1AD8">
              <w:rPr>
                <w:rFonts w:ascii="Cambria" w:hAnsi="Cambria" w:cs="Calibri"/>
                <w:sz w:val="18"/>
                <w:szCs w:val="18"/>
              </w:rPr>
              <w:t xml:space="preserve">), Task 2 (ES= 0.01-0.09) and Task 3 (ES= -0.03-0.04). Also </w:t>
            </w:r>
            <w:r w:rsidRPr="009C1AD8">
              <w:rPr>
                <w:rFonts w:ascii="Cambria" w:hAnsi="Cambria" w:cs="Calibri"/>
                <w:i/>
                <w:sz w:val="18"/>
                <w:szCs w:val="18"/>
                <w:lang w:val="en-GB"/>
              </w:rPr>
              <w:t>High</w:t>
            </w:r>
            <w:r w:rsidRPr="009C1AD8">
              <w:rPr>
                <w:rFonts w:ascii="Cambria" w:hAnsi="Cambria" w:cs="Calibri"/>
                <w:sz w:val="18"/>
                <w:szCs w:val="18"/>
                <w:lang w:val="en-GB"/>
              </w:rPr>
              <w:t xml:space="preserve"> to </w:t>
            </w:r>
            <w:r w:rsidRPr="009C1AD8">
              <w:rPr>
                <w:rFonts w:ascii="Cambria" w:hAnsi="Cambria" w:cs="Calibri"/>
                <w:i/>
                <w:sz w:val="18"/>
                <w:szCs w:val="18"/>
                <w:lang w:val="en-GB"/>
              </w:rPr>
              <w:t xml:space="preserve">perfect </w:t>
            </w:r>
            <w:r w:rsidRPr="009C1AD8">
              <w:rPr>
                <w:rFonts w:ascii="Cambria" w:hAnsi="Cambria" w:cs="Calibri"/>
                <w:sz w:val="18"/>
                <w:szCs w:val="18"/>
                <w:lang w:val="en-GB"/>
              </w:rPr>
              <w:t xml:space="preserve">ICCs (0.91-1) and linear correlations (r= 0.961-1; </w:t>
            </w:r>
            <w:r w:rsidRPr="009C1AD8">
              <w:rPr>
                <w:rFonts w:ascii="Cambria" w:hAnsi="Cambria" w:cs="Calibri"/>
                <w:i/>
                <w:sz w:val="18"/>
                <w:szCs w:val="18"/>
                <w:lang w:val="en-GB"/>
              </w:rPr>
              <w:t>p</w:t>
            </w:r>
            <w:r w:rsidRPr="009C1AD8">
              <w:rPr>
                <w:rFonts w:ascii="Cambria" w:hAnsi="Cambria" w:cs="Calibri"/>
                <w:sz w:val="18"/>
                <w:szCs w:val="18"/>
                <w:lang w:val="en-GB"/>
              </w:rPr>
              <w:t xml:space="preserve"> &lt; 0.01) were found among the TA values obtained through all sampling frequencies.</w:t>
            </w:r>
            <w:commentRangeEnd w:id="3"/>
            <w:r w:rsidR="00EA1363">
              <w:rPr>
                <w:rStyle w:val="CommentReference"/>
              </w:rPr>
              <w:commentReference w:id="3"/>
            </w:r>
          </w:p>
          <w:p w14:paraId="3E233BDC" w14:textId="77777777" w:rsidR="00A4168E" w:rsidRPr="009C1AD8" w:rsidRDefault="00A4168E" w:rsidP="00A4168E">
            <w:pPr>
              <w:jc w:val="both"/>
              <w:rPr>
                <w:rFonts w:ascii="Cambria" w:eastAsia="Cambria" w:hAnsi="Cambria" w:cs="Calibri"/>
                <w:color w:val="000000"/>
                <w:sz w:val="18"/>
                <w:szCs w:val="18"/>
              </w:rPr>
            </w:pPr>
            <w:r w:rsidRPr="009C1AD8">
              <w:rPr>
                <w:rFonts w:ascii="Cambria" w:eastAsia="Cambria" w:hAnsi="Cambria" w:cs="Calibri"/>
                <w:color w:val="000000"/>
                <w:sz w:val="18"/>
                <w:szCs w:val="18"/>
              </w:rPr>
              <w:t>Conclusion</w:t>
            </w:r>
            <w:commentRangeStart w:id="4"/>
            <w:r w:rsidRPr="009C1AD8">
              <w:rPr>
                <w:rFonts w:ascii="Cambria" w:eastAsia="Cambria" w:hAnsi="Cambria" w:cs="Calibri"/>
                <w:color w:val="000000"/>
                <w:sz w:val="18"/>
                <w:szCs w:val="18"/>
              </w:rPr>
              <w:t>:</w:t>
            </w:r>
            <w:bookmarkStart w:id="5" w:name="_Hlk61600327"/>
            <w:r w:rsidRPr="009C1AD8">
              <w:rPr>
                <w:rFonts w:ascii="Cambria" w:hAnsi="Cambria" w:cs="Calibri"/>
                <w:sz w:val="18"/>
                <w:szCs w:val="18"/>
              </w:rPr>
              <w:t xml:space="preserve"> Thus, it is recommended the use of 1 Hz to measure TA, but </w:t>
            </w:r>
            <w:r w:rsidRPr="009C1AD8">
              <w:rPr>
                <w:rFonts w:ascii="Cambria" w:hAnsi="Cambria" w:cs="Calibri"/>
                <w:sz w:val="18"/>
                <w:szCs w:val="18"/>
                <w:lang w:val="en-GB" w:eastAsia="es-ES"/>
              </w:rPr>
              <w:t xml:space="preserve">further studies should analyse the impact of lower than 1 Hz and greater than 10 Hz sampling frequencies to measure this </w:t>
            </w:r>
            <w:r w:rsidRPr="009C1AD8">
              <w:rPr>
                <w:rFonts w:ascii="Cambria" w:hAnsi="Cambria" w:cs="Calibri"/>
                <w:sz w:val="18"/>
                <w:szCs w:val="18"/>
              </w:rPr>
              <w:t>collective tactical behavior.</w:t>
            </w:r>
            <w:bookmarkEnd w:id="5"/>
          </w:p>
          <w:commentRangeEnd w:id="4"/>
          <w:p w14:paraId="68BC4C99" w14:textId="77777777" w:rsidR="00BD3F0E" w:rsidRPr="009C1AD8" w:rsidRDefault="00EA1363">
            <w:pPr>
              <w:jc w:val="both"/>
              <w:rPr>
                <w:rFonts w:ascii="Cambria" w:eastAsia="Cambria" w:hAnsi="Cambria" w:cs="Cambria"/>
                <w:color w:val="000000"/>
                <w:sz w:val="18"/>
                <w:szCs w:val="18"/>
              </w:rPr>
            </w:pPr>
            <w:r>
              <w:rPr>
                <w:rStyle w:val="CommentReference"/>
              </w:rPr>
              <w:commentReference w:id="4"/>
            </w:r>
          </w:p>
          <w:p w14:paraId="1AD37615" w14:textId="77777777" w:rsidR="00BD3F0E" w:rsidRPr="009C1AD8" w:rsidRDefault="00BD3F0E">
            <w:pPr>
              <w:jc w:val="both"/>
              <w:rPr>
                <w:rFonts w:ascii="Cambria" w:eastAsia="Cambria" w:hAnsi="Cambria" w:cs="Cambria"/>
                <w:color w:val="000000"/>
                <w:sz w:val="18"/>
                <w:szCs w:val="18"/>
              </w:rPr>
            </w:pPr>
          </w:p>
        </w:tc>
      </w:tr>
      <w:tr w:rsidR="00BD3F0E" w:rsidRPr="009C1AD8" w14:paraId="6A5F6477" w14:textId="77777777">
        <w:trPr>
          <w:trHeight w:val="2230"/>
        </w:trPr>
        <w:tc>
          <w:tcPr>
            <w:tcW w:w="2592" w:type="dxa"/>
            <w:tcBorders>
              <w:top w:val="single" w:sz="4" w:space="0" w:color="000000"/>
              <w:left w:val="nil"/>
              <w:bottom w:val="single" w:sz="4" w:space="0" w:color="000000"/>
              <w:right w:val="nil"/>
            </w:tcBorders>
          </w:tcPr>
          <w:p w14:paraId="02455773" w14:textId="77777777" w:rsidR="00BD3F0E" w:rsidRPr="009C1AD8" w:rsidRDefault="00BD3F0E">
            <w:pPr>
              <w:jc w:val="both"/>
              <w:rPr>
                <w:rFonts w:ascii="Cambria" w:eastAsia="Cambria" w:hAnsi="Cambria" w:cs="Cambria"/>
                <w:b/>
                <w:i/>
                <w:sz w:val="18"/>
                <w:szCs w:val="18"/>
              </w:rPr>
            </w:pPr>
          </w:p>
          <w:p w14:paraId="39388F33" w14:textId="77777777" w:rsidR="00BD3F0E" w:rsidRPr="009C1AD8" w:rsidRDefault="00A4168E">
            <w:pPr>
              <w:spacing w:after="120"/>
              <w:jc w:val="both"/>
              <w:rPr>
                <w:rFonts w:ascii="Cambria" w:eastAsia="Cambria" w:hAnsi="Cambria" w:cs="Cambria"/>
                <w:b/>
                <w:i/>
                <w:sz w:val="18"/>
                <w:szCs w:val="18"/>
              </w:rPr>
            </w:pPr>
            <w:r w:rsidRPr="009C1AD8">
              <w:rPr>
                <w:rFonts w:ascii="Cambria" w:eastAsia="Cambria" w:hAnsi="Cambria" w:cs="Cambria"/>
                <w:b/>
                <w:i/>
                <w:sz w:val="18"/>
                <w:szCs w:val="18"/>
              </w:rPr>
              <w:t>Keywords:</w:t>
            </w:r>
          </w:p>
          <w:p w14:paraId="49DA68C0" w14:textId="77777777" w:rsidR="00A4168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Data filtering</w:t>
            </w:r>
          </w:p>
          <w:p w14:paraId="5AF17AB2" w14:textId="77777777" w:rsidR="00A4168E" w:rsidRPr="009C1AD8" w:rsidRDefault="00A4168E" w:rsidP="00A4168E">
            <w:pPr>
              <w:jc w:val="both"/>
              <w:rPr>
                <w:rFonts w:ascii="Cambria" w:eastAsia="Cambria" w:hAnsi="Cambria" w:cs="Cambria"/>
                <w:sz w:val="18"/>
                <w:szCs w:val="18"/>
              </w:rPr>
            </w:pPr>
            <w:r w:rsidRPr="009C1AD8">
              <w:rPr>
                <w:rFonts w:ascii="Cambria" w:eastAsia="Cambria" w:hAnsi="Cambria" w:cs="Cambria"/>
                <w:sz w:val="18"/>
                <w:szCs w:val="18"/>
              </w:rPr>
              <w:t>Data processing</w:t>
            </w:r>
          </w:p>
          <w:p w14:paraId="7CFCDC8C" w14:textId="77777777" w:rsidR="00A4168E" w:rsidRPr="009C1AD8" w:rsidRDefault="00A4168E" w:rsidP="00A4168E">
            <w:pPr>
              <w:jc w:val="both"/>
              <w:rPr>
                <w:rFonts w:ascii="Cambria" w:eastAsia="Cambria" w:hAnsi="Cambria" w:cs="Cambria"/>
                <w:sz w:val="18"/>
                <w:szCs w:val="18"/>
              </w:rPr>
            </w:pPr>
            <w:r w:rsidRPr="009C1AD8">
              <w:rPr>
                <w:rFonts w:ascii="Cambria" w:eastAsia="Cambria" w:hAnsi="Cambria" w:cs="Cambria"/>
                <w:sz w:val="18"/>
                <w:szCs w:val="18"/>
              </w:rPr>
              <w:t>Game analysis</w:t>
            </w:r>
          </w:p>
          <w:p w14:paraId="0BA5D78E" w14:textId="77777777" w:rsidR="00A4168E" w:rsidRPr="009C1AD8" w:rsidRDefault="00A4168E" w:rsidP="00A4168E">
            <w:pPr>
              <w:jc w:val="both"/>
              <w:rPr>
                <w:rFonts w:ascii="Cambria" w:eastAsia="Cambria" w:hAnsi="Cambria" w:cs="Cambria"/>
                <w:sz w:val="18"/>
                <w:szCs w:val="18"/>
              </w:rPr>
            </w:pPr>
            <w:r w:rsidRPr="009C1AD8">
              <w:rPr>
                <w:rFonts w:ascii="Cambria" w:eastAsia="Cambria" w:hAnsi="Cambria" w:cs="Cambria"/>
                <w:sz w:val="18"/>
                <w:szCs w:val="18"/>
              </w:rPr>
              <w:t>Sampling rates</w:t>
            </w:r>
          </w:p>
          <w:p w14:paraId="744B1D40"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sz w:val="18"/>
                <w:szCs w:val="18"/>
              </w:rPr>
              <w:t>Technology</w:t>
            </w:r>
          </w:p>
          <w:p w14:paraId="00AE2913" w14:textId="77777777" w:rsidR="00BD3F0E" w:rsidRPr="009C1AD8" w:rsidRDefault="00BD3F0E" w:rsidP="00A4168E">
            <w:pPr>
              <w:jc w:val="both"/>
              <w:rPr>
                <w:rFonts w:ascii="Cambria" w:eastAsia="Cambria" w:hAnsi="Cambria" w:cs="Cambria"/>
                <w:sz w:val="18"/>
                <w:szCs w:val="18"/>
              </w:rPr>
            </w:pPr>
          </w:p>
        </w:tc>
        <w:tc>
          <w:tcPr>
            <w:tcW w:w="385" w:type="dxa"/>
            <w:vMerge/>
            <w:tcBorders>
              <w:top w:val="nil"/>
              <w:left w:val="nil"/>
              <w:bottom w:val="nil"/>
              <w:right w:val="nil"/>
            </w:tcBorders>
          </w:tcPr>
          <w:p w14:paraId="346A6517" w14:textId="77777777" w:rsidR="00BD3F0E" w:rsidRPr="009C1AD8" w:rsidRDefault="00BD3F0E">
            <w:pPr>
              <w:widowControl w:val="0"/>
              <w:pBdr>
                <w:top w:val="nil"/>
                <w:left w:val="nil"/>
                <w:bottom w:val="nil"/>
                <w:right w:val="nil"/>
                <w:between w:val="nil"/>
              </w:pBdr>
              <w:spacing w:line="276" w:lineRule="auto"/>
              <w:rPr>
                <w:rFonts w:ascii="Cambria" w:eastAsia="Cambria" w:hAnsi="Cambria" w:cs="Cambria"/>
                <w:sz w:val="18"/>
                <w:szCs w:val="18"/>
              </w:rPr>
            </w:pPr>
          </w:p>
        </w:tc>
        <w:tc>
          <w:tcPr>
            <w:tcW w:w="6379" w:type="dxa"/>
            <w:vMerge/>
            <w:tcBorders>
              <w:top w:val="single" w:sz="4" w:space="0" w:color="000000"/>
              <w:left w:val="nil"/>
              <w:right w:val="nil"/>
            </w:tcBorders>
          </w:tcPr>
          <w:p w14:paraId="70B4FD1E" w14:textId="77777777" w:rsidR="00BD3F0E" w:rsidRPr="009C1AD8" w:rsidRDefault="00BD3F0E">
            <w:pPr>
              <w:widowControl w:val="0"/>
              <w:pBdr>
                <w:top w:val="nil"/>
                <w:left w:val="nil"/>
                <w:bottom w:val="nil"/>
                <w:right w:val="nil"/>
                <w:between w:val="nil"/>
              </w:pBdr>
              <w:spacing w:line="276" w:lineRule="auto"/>
              <w:rPr>
                <w:rFonts w:ascii="Cambria" w:eastAsia="Cambria" w:hAnsi="Cambria" w:cs="Cambria"/>
                <w:sz w:val="18"/>
                <w:szCs w:val="18"/>
              </w:rPr>
            </w:pPr>
          </w:p>
        </w:tc>
      </w:tr>
      <w:tr w:rsidR="00BD3F0E" w:rsidRPr="009C1AD8" w14:paraId="13ABBB66" w14:textId="77777777">
        <w:trPr>
          <w:trHeight w:val="73"/>
        </w:trPr>
        <w:tc>
          <w:tcPr>
            <w:tcW w:w="9356" w:type="dxa"/>
            <w:gridSpan w:val="3"/>
            <w:tcBorders>
              <w:top w:val="single" w:sz="4" w:space="0" w:color="000000"/>
              <w:left w:val="nil"/>
              <w:bottom w:val="single" w:sz="4" w:space="0" w:color="000000"/>
              <w:right w:val="nil"/>
            </w:tcBorders>
          </w:tcPr>
          <w:p w14:paraId="689E1580" w14:textId="77777777" w:rsidR="00BD3F0E" w:rsidRPr="009C1AD8" w:rsidRDefault="00A4168E">
            <w:pPr>
              <w:jc w:val="both"/>
              <w:rPr>
                <w:rFonts w:ascii="Cambria" w:eastAsia="Cambria" w:hAnsi="Cambria" w:cs="Cambria"/>
                <w:sz w:val="18"/>
                <w:szCs w:val="18"/>
              </w:rPr>
            </w:pPr>
            <w:r w:rsidRPr="009C1AD8">
              <w:rPr>
                <w:rFonts w:ascii="Cambria" w:eastAsia="Cambria" w:hAnsi="Cambria" w:cs="Cambria"/>
                <w:b/>
                <w:sz w:val="18"/>
                <w:szCs w:val="18"/>
              </w:rPr>
              <w:t xml:space="preserve">To cite this article: </w:t>
            </w:r>
            <w:r w:rsidRPr="009C1AD8">
              <w:rPr>
                <w:rFonts w:ascii="Cambria" w:eastAsia="Cambria" w:hAnsi="Cambria" w:cs="Cambria"/>
                <w:sz w:val="18"/>
                <w:szCs w:val="18"/>
              </w:rPr>
              <w:t xml:space="preserve">Author. (20XX). Title. </w:t>
            </w:r>
            <w:r w:rsidRPr="009C1AD8">
              <w:rPr>
                <w:rFonts w:ascii="Cambria" w:eastAsia="Cambria" w:hAnsi="Cambria" w:cs="Cambria"/>
                <w:i/>
                <w:sz w:val="18"/>
                <w:szCs w:val="18"/>
              </w:rPr>
              <w:t>Journal of Coaching and Sports Science, X</w:t>
            </w:r>
            <w:r w:rsidRPr="009C1AD8">
              <w:rPr>
                <w:rFonts w:ascii="Cambria" w:eastAsia="Cambria" w:hAnsi="Cambria" w:cs="Cambria"/>
                <w:sz w:val="18"/>
                <w:szCs w:val="18"/>
              </w:rPr>
              <w:t>(X), XX-XX</w:t>
            </w:r>
          </w:p>
        </w:tc>
      </w:tr>
    </w:tbl>
    <w:p w14:paraId="3E41011C" w14:textId="77777777" w:rsidR="00BD3F0E" w:rsidRPr="009C1AD8" w:rsidRDefault="00BD3F0E">
      <w:pPr>
        <w:jc w:val="center"/>
        <w:rPr>
          <w:rFonts w:ascii="Cambria" w:eastAsia="Cambria" w:hAnsi="Cambria" w:cs="Cambria"/>
          <w:sz w:val="18"/>
          <w:szCs w:val="18"/>
        </w:rPr>
      </w:pPr>
    </w:p>
    <w:p w14:paraId="5ED46CD5" w14:textId="77777777" w:rsidR="00BD3F0E" w:rsidRPr="009C1AD8" w:rsidRDefault="00BD3F0E">
      <w:pPr>
        <w:rPr>
          <w:rFonts w:ascii="Cambria" w:eastAsia="Cambria" w:hAnsi="Cambria" w:cs="Cambria"/>
          <w:color w:val="000000"/>
          <w:sz w:val="22"/>
          <w:szCs w:val="22"/>
        </w:rPr>
      </w:pPr>
    </w:p>
    <w:p w14:paraId="1660032B" w14:textId="77777777" w:rsidR="00BD3F0E" w:rsidRPr="009C1AD8" w:rsidRDefault="00BD3F0E">
      <w:pPr>
        <w:rPr>
          <w:rFonts w:ascii="Cambria" w:eastAsia="Cambria" w:hAnsi="Cambria" w:cs="Cambria"/>
          <w:color w:val="000000"/>
          <w:sz w:val="22"/>
          <w:szCs w:val="22"/>
        </w:rPr>
      </w:pPr>
    </w:p>
    <w:p w14:paraId="7C664FA6" w14:textId="77777777" w:rsidR="00BD3F0E" w:rsidRPr="009C1AD8" w:rsidRDefault="00A4168E">
      <w:pPr>
        <w:spacing w:after="120"/>
        <w:jc w:val="center"/>
        <w:rPr>
          <w:rFonts w:ascii="Cambria" w:eastAsia="Cambria" w:hAnsi="Cambria" w:cs="Cambria"/>
          <w:b/>
          <w:color w:val="000000"/>
          <w:sz w:val="22"/>
          <w:szCs w:val="22"/>
        </w:rPr>
      </w:pPr>
      <w:r w:rsidRPr="009C1AD8">
        <w:rPr>
          <w:rFonts w:ascii="Cambria" w:eastAsia="Cambria" w:hAnsi="Cambria" w:cs="Cambria"/>
          <w:b/>
          <w:color w:val="000000"/>
          <w:sz w:val="22"/>
          <w:szCs w:val="22"/>
        </w:rPr>
        <w:t>INTRODUCTION</w:t>
      </w:r>
    </w:p>
    <w:p w14:paraId="7C0A9AFF" w14:textId="77777777" w:rsidR="00BD3F0E" w:rsidRPr="009C1AD8" w:rsidRDefault="00BD3F0E">
      <w:pPr>
        <w:jc w:val="both"/>
        <w:rPr>
          <w:rFonts w:ascii="Cambria" w:eastAsia="Cambria" w:hAnsi="Cambria" w:cs="Cambria"/>
          <w:color w:val="000000"/>
          <w:sz w:val="22"/>
          <w:szCs w:val="22"/>
        </w:rPr>
      </w:pPr>
    </w:p>
    <w:p w14:paraId="3DE9270B" w14:textId="77777777" w:rsidR="00A4168E" w:rsidRPr="009C1AD8" w:rsidRDefault="00A4168E" w:rsidP="00A4168E">
      <w:pPr>
        <w:shd w:val="clear" w:color="auto" w:fill="FFFFFF"/>
        <w:ind w:firstLine="708"/>
        <w:jc w:val="both"/>
        <w:rPr>
          <w:rFonts w:ascii="Cambria" w:hAnsi="Cambria"/>
          <w:color w:val="000000"/>
          <w:sz w:val="22"/>
          <w:szCs w:val="22"/>
          <w:lang w:val="es-ES"/>
        </w:rPr>
      </w:pPr>
      <w:r w:rsidRPr="009C1AD8">
        <w:rPr>
          <w:rFonts w:ascii="Cambria" w:hAnsi="Cambria"/>
          <w:color w:val="000000"/>
          <w:sz w:val="22"/>
          <w:szCs w:val="22"/>
          <w:lang w:val="en-GB"/>
        </w:rPr>
        <w:t xml:space="preserve">Positioning tracking systems technologies were originally intended for military and scientific use, but in recent years they have been used for a wide variety of applications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{"citationID":"SjgcOzZA","properties":{"formattedCitation":"(Malone et al., 2017)","plainCitation":"(Malone et al., 2017)","noteIndex":0},"citationItems":[{"id":3720,"uris":["http://zotero.org/groups/2252673/items/XJ79RVP9",["http://zotero.org/groups/2252673/items/XJ79RVP9"]],"itemData":{"id":3720,"type":"article-journal","abstract":"Athlete-tracking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(Malone et al., 2017)</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For example, the sports area has been a new niche of development for outdoor and indoor tracking systems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{"citationID":"a289th38mnn","properties":{"formattedCitation":"(Frencken, W &amp; Lemmink, K, 2009; Malone et al., 2017; Passos et al., 2008)","plainCitation":"(Frencken, W &amp; Lemmink, K, 2009; Malone et al., 2017; Passos et al., 2008)","noteIndex":0},"citationItems":[{"id":4524,"uris":["http://zotero.org/groups/2252673/items/ATDEHZCH",["http://zotero.org/groups/2252673/items/ATDEHZCH"]],"itemData":{"id":4524,"type":"chapter","container-title":"Science and Football VI","event-place":"Routledge Taylor &amp; Francis Group, Oxon","page":"161-166","publisher-place":"Routledge Taylor &amp; Francis Group, Oxon","source":"Zotero","title":"Team kinematics of small-sided soccer games: a systematic approach. In: Reilly, T, and F. Korkusuz (Eds.), Science and Football VI.","author":[{"family":"Frencken, W","given":"K. Lemmink"},{"family":"Lemmink, K","given":""}],"issued":{"date-parts":[["2009"]]}}},{"id":3720,"uris":["http://zotero.org/groups/2252673/items/XJ79RVP9",["http://zotero.org/groups/2252673/items/XJ79RVP9"]],"itemData":{"id":3720,"type":"article-journal","abstract":"Athlete-tracking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J."}],"issued":{"date-parts":[["2017",4]]}}},{"id":4115,"uris":["http://zotero.org/groups/2252673/items/V2D82G7K",["http://zotero.org/groups/2252673/items/V2D82G7K"]],"itemData":{"id":4115,"type":"article-journal","abstract":"Previous work on dynamics of interpersonal interactions in 1 vs. 1 sub-phases of basketball has identiﬁed changes in interpersonal distance between an attacker and defender as a potential control parameter for inﬂuencing organizational states of attacker–defender dyads. Other studies have reported the constraining effect of relative velocity between an attacker and defender in 1 vs. 1 dyads. To evaluate the relationship between these candidate control parameters, we compared the impact of both interpersonal distance and relative velocity on the pattern-forming dynamics </w:instrText>
      </w:r>
      <w:r w:rsidRPr="009C1AD8">
        <w:rPr>
          <w:rFonts w:ascii="Cambria" w:hAnsi="Cambria"/>
          <w:color w:val="000000"/>
          <w:sz w:val="22"/>
          <w:szCs w:val="22"/>
          <w:lang w:val="fr-FR"/>
        </w:rPr>
        <w:instrText>of attacker–defender dyads in the sport of rugby union. Results revealed that when interpersonal distance achieved a critical value of less than 4 m, and relative velocity values increased or were maintained above 1 m Á s71, a successful outcome (i.e. clean attempt) for an attacker was predicted. Alternatively, when values of relative velocity suddenly decreased below this threshold, at the same critical value of interpersonal distance, a successful outcome for the defender was predicted. Data demonstrated how the coupling of these two potential, nested control parameters moved the dyadic system to phase transitions, characterized as a try or a tackle. Observations suggested that relative velocity increased its in</w:instrText>
      </w:r>
      <w:r w:rsidRPr="009C1AD8">
        <w:rPr>
          <w:rFonts w:ascii="Cambria" w:hAnsi="Cambria"/>
          <w:color w:val="000000"/>
          <w:sz w:val="22"/>
          <w:szCs w:val="22"/>
          <w:lang w:val="en-GB"/>
        </w:rPr>
        <w:instrText>ﬂ</w:instrText>
      </w:r>
      <w:r w:rsidRPr="009C1AD8">
        <w:rPr>
          <w:rFonts w:ascii="Cambria" w:hAnsi="Cambria"/>
          <w:color w:val="000000"/>
          <w:sz w:val="22"/>
          <w:szCs w:val="22"/>
          <w:lang w:val="fr-FR"/>
        </w:rPr>
        <w:instrText xml:space="preserve">uence on the organization of attacker–defender dyads in rugby union over time as spatial proximity to the try line increased.","container-title":"Journal of Sports Sciences","DOI":"10.1080/02640410802208986","ISSN":"0264-0414, 1466-447X","issue":"13","language":"en","page":"1421-1429","source":"Crossref","title":"Information-governing dynamics of attacker–defender interactions in youth rugby union","volume":"26","author":[{"family":"Passos","given":"Pedro"},{"family":"Araújo","given":"Duarte"},{"family":"Davids","given":"Keith"},{"family":"Gouveia","given":"Luis"},{"family":"Milho","given":"João"},{"family":"Serpa","given":"SidóNio"}],"issued":{"date-parts":[["2008",11]]}}}],"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lang w:val="fr-FR"/>
        </w:rPr>
        <w:t>(Frencken, W &amp; Lemmink, K, 2009; Malone et al., 2017; Passos et al., 2008)</w:t>
      </w:r>
      <w:r w:rsidRPr="009C1AD8">
        <w:rPr>
          <w:rFonts w:ascii="Cambria" w:hAnsi="Cambria"/>
          <w:color w:val="000000"/>
          <w:sz w:val="22"/>
          <w:szCs w:val="22"/>
          <w:lang w:val="en-GB"/>
        </w:rPr>
        <w:fldChar w:fldCharType="end"/>
      </w:r>
      <w:r w:rsidRPr="009C1AD8">
        <w:rPr>
          <w:rFonts w:ascii="Cambria" w:hAnsi="Cambria"/>
          <w:color w:val="000000"/>
          <w:sz w:val="22"/>
          <w:szCs w:val="22"/>
          <w:lang w:val="fr-FR"/>
        </w:rPr>
        <w:t xml:space="preserve">. </w:t>
      </w:r>
      <w:r w:rsidRPr="009C1AD8">
        <w:rPr>
          <w:rFonts w:ascii="Cambria" w:hAnsi="Cambria"/>
          <w:color w:val="000000"/>
          <w:sz w:val="22"/>
          <w:szCs w:val="22"/>
          <w:lang w:val="en-GB"/>
        </w:rPr>
        <w:t xml:space="preserve">These new applications have motivated improvements for the positional, computational and image analyses of these types of instruments. Application of position tracking systems in sport were driven by studies led by Schmidt, O´ Brien and Sysko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{"citationID":"a1rj1r3f9gi","properties":{"formattedCitation":"\\uldash{(Schmidt, R. C., O\\uc0\\u180{} Brien, B., &amp; Sysko, R., 1999)}","plainCitation":"(Schmidt, R. C., O´ Brien, B., &amp; Sysko, R., 1999)","dontUpdate":true,"noteIndex":0},"citationItems":[{"id":3713,"uris":["http://zotero.org/groups/2252673/items/FVN7FYQI",["http://zotero.org/groups/2252673/items/FVN7FYQI"]],"itemData":{"id":3713,"type":"article-journal","journalAbbreviation":"Int. J. Sport Psychol.","page":"558-579","title":"Self organization of between person cooperative tasks and possible applications to sport","volume":"30","author":[{"literal":"Schmidt, R. C., O´ Brien, B., &amp; Sysko, R."}],"issued":{"date-parts":[["1999"]]}}}],"schema":"https://github.com/citation-style-language/schema/raw/master/csl-citation.json"}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(1999)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who opened up new lines of research regarding intra-person and inter-person coordination, making it possible to assess tactical behaviour in sport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{"citationID":"a1ol7pogv0","properties":{"formattedCitation":"\\uldash{(Schmidt, R. C., O\\uc0\\u180{} Brien, B., &amp; Sysko, R., 1999)}","plainCitation":"(Schmidt, R. C., O´ Brien, B., &amp; Sysko, R., 1999)","dontUpdate":true,"noteIndex":0},"citationItems":[{"id":3713,"uris":["http://zotero.org/groups/2252673/items/FVN7FYQI",["http://zotero.org/groups/2252673/items/FVN7FYQI"]],"itemData":{"id":3713,"type":"article-journal","journalAbbreviation":"Int. J. Sport Psychol.","page":"558-579","title":"Self organization of between person cooperative tasks and possible applications to sport","volume":"30","author":[{"literal":"Schmidt, R. C., O´ Brien, B., &amp; Sysko, R."}],"issued":{"date-parts":[["1999"]]}}}],"schema":"https://github.com/citation-style-language/schema/raw/master/csl-citation.json"}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(Schmidt, O´ Brien, &amp; Sysko, 1999)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Although the authors proposed these methods as tactical measures, they were later called micro-level measures because they only quantified two players. The dyad analysis was proposed for basketball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{"citationID":"a2m4e5t2i44","properties":{"formattedCitation":"(Schmidt, R. C., O\\uc0\\u180{} Brien, B., &amp; Sysko, R., 1999)","plainCitation":"(Schmidt, R. C., O´ Brien, B., &amp; Sysko, R., 1999)","dontUpdate":true,"noteIndex":0},"citationItems":[{"id":3713,"uris":["http://zotero.org/groups/2252673/items/FVN7FYQI",["http://zotero.org/groups/2252673/items/FVN7FYQI"]],"itemData":{"id":3713,"type":"article-journal","journalAbbreviation":"Int. J. Sport Psychol.","page":"558-579","title":"Self organization of between person cooperative tasks and possible applications to sport","volume":"30","author":[{"literal":"Schmidt, R. C., O´ Brien, B., &amp; Sysko, R."}],"issued":{"date-parts":[["1999"]]}}}],"schema":"https://github.com/citation-style-language/schema/raw/master/csl-citation.json"}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(Schmidt, O´ Brien, &amp; Sysko, 1999)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but were also developed for individual racket sports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{"citationID":"a6hj3ot6be","properties":{"formattedCitation":"(Palut &amp; Zanone, 2005)","plainCitation":"(Palut &amp; Zanone, 2005)","noteIndex":0},"citationItems":[{"id":4119,"uris":["http://zotero.org/groups/2252673/items/K55ZK6N7",["http://zotero.org/groups/2252673/items/K55ZK6N7"]],"itemData":{"id":4119,"type":"article-journal","abstract":"This research reported here draws on self-organization theories and dynamical system models to investigate the collective behaviour of tennis players. In tennis, the unceasing to-and-fro displacements of a player about a ‘‘home’’ reference position, located in the middle of the baseline, are akin to those of an oscillator, and the reciprocal attending of both players establishes an informational linkage. Thus, theoretically, the displacement of the two players can be analysed as a system formed by two coupled non-linear oscillators. In such a system, relative phase has been shown to be an adept measure of the temporal synchronization between the oscillators. We hypothesized that relative phase is a relevant collective variable to characterize the relative motion of tennis players. Four players were videotaped and their displacements analysed. The results revealed just two stable patterns of synchronization, in-phase and anti-phase, as the players moved in the same or opposite directions, respectively. Moreover, relative phase showed two types of evolution within trials: either it remained stable at in-phase or anti-phase, or it exhibited transitions between these two modes. In accordance with our hypothesis, the results identiﬁed relative phase as a pertinent collective variable to represent both invariance and change in the relative displacements of tennis players. Such a ﬁnding opens new avenues for investigating dual sports.","container-title":"Journal of Sports Sciences","DOI":"10.1080/02640410400021682","ISSN":"0264-0414, 1466-447X","issue":"10","language":"en","page":"1021-1032","source":"Crossref","title":"A dynamical analysis of tennis: Concepts and data","title-short":"A dynamical analysis of tennis","volume":"23","author":[{"family":"Palut","given":"Yannick"},{"family":"Zanone","given":"Pier-Giorgio"}],"issued":{"date-parts":[["2005",10]]}}}],"schema":"https://github.com/citation-style-language/schema/raw/master/csl-citation.json"}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(Palut &amp; Zanone, 2005)</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w:t>
      </w:r>
      <w:commentRangeStart w:id="6"/>
      <w:r w:rsidRPr="009C1AD8">
        <w:rPr>
          <w:rFonts w:ascii="Cambria" w:hAnsi="Cambria"/>
          <w:color w:val="000000"/>
          <w:sz w:val="22"/>
          <w:szCs w:val="22"/>
          <w:lang w:val="en-GB"/>
        </w:rPr>
        <w:t xml:space="preserve">Years later they were used to measure team sports as well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{"citationID":"at784ndds6","properties":{"formattedCitation":"(Passos et al., 2008; Yue et al., 2008)","plainCitation":"(Passos et al., 2008; Yue et al., 2008)","noteIndex":0},"citationItems":[{"id":4115,"uris":["http://zotero.org/groups/2252673/items/V2D82G7K",["http://zotero.org/groups/2252673/items/V2D82G7K"]],"itemData":{"id":4115,"type":"article-journal","abstract":"Previous work on dynamics of interpersonal interactions in 1 vs. 1 sub-phases of basketball has identiﬁed changes in interpersonal distance between an attacker and defender as a potential control parameter for inﬂuencing organizational states of attacker–defender dyads. Other studies have reported the constraining effect of relative velocity between an attacker and defender in 1 vs. 1 dyads. To evaluate the relationship between these candidate control parameters, we compared the impact of both interpersonal distance and relative velocity on the pattern-forming dynamics of attacker–defender dyads in the sport of rugby union. Results revealed that when interpersonal distance achieved a critical value of less than 4 m, and relative velocity values increased or were maintained above 1 m Á s71, a successful outcome (i.e. clean attempt) for an attacker was predicted. Alternatively, when values of relative velocity suddenly decreased below this threshold, at the same critical value of interpersonal distance, a successful outcome for the defender was predicted. Data demonstrated how the coupling of these two potential, nested control parameters moved the dyadic system to phase transitions, characterized as a try or a tackle. Observations suggested that relative velocity increased its inﬂuence on the organization of attacker–defender dyads in rugby union over time as spatial proximity to the try line increased.","container-title":"Journal of Sports Sciences","DOI":"10.1080/02640410802208986","ISSN":"0264-0414, 1466-447X","issue":"13","language":"en","page":"1421-1429","source":"Crossref","title":"Information-governing dynamics of attacker–defender interactions in youth rugby union","volume":"26","author":[{"family":"Passos","given":"Pedro"},{"family":"Araújo","given":"Duarte"},{"family":"Davids","given":"Keith"},{"family":"Gouveia","given":"Luis"},{"family":"Milho","given":"João"},{"family":"Serpa","given":"SidóNio"}],"issued":{"date-parts":[["2008",11]]}}},{"id":4133,"uris":["http://zotero.org/groups/2252673/items/ZJFE7XL6",["http://zotero.org/groups/2252673/items/ZJFE7XL6"]],"itemData":{"id":4133,"type":"article-journal","container-title":"Studies in Applied Mathematics","DOI":"10.1111/j.1467-9590.2008.00413.x","ISSN":"00222526, 14679590","issue":"3","language":"en","page":"223-243","source":"Crossref","title":"Mathematical Analysis of a Soccer Game. Part I: Individual and Collective Behaviors","title-short":"Mathematical Analysis of a Soccer Game. Part I","volume":"121","author":[{"family":"Yue","given":"Zengyuan"},{"family":"Broich","given":"Holger"},{"family":"Seifriz","given":"Florian"},{"family":"Mester","given":"Joachim"}],"issued":{"date-parts":[["2008",10]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(Passos et al., 2008; Yue et al., 2008)</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w:t>
      </w:r>
      <w:r w:rsidRPr="009C1AD8">
        <w:rPr>
          <w:rFonts w:ascii="Cambria" w:hAnsi="Cambria"/>
          <w:color w:val="000000"/>
          <w:sz w:val="22"/>
          <w:szCs w:val="22"/>
        </w:rPr>
        <w:t xml:space="preserve"> </w:t>
      </w:r>
      <w:r w:rsidRPr="009C1AD8">
        <w:rPr>
          <w:rFonts w:ascii="Cambria" w:hAnsi="Cambria"/>
          <w:color w:val="000000"/>
          <w:sz w:val="22"/>
          <w:szCs w:val="22"/>
          <w:lang w:val="en-GB"/>
        </w:rPr>
        <w:t xml:space="preserve">While some authors continued with dyad analysis, </w:t>
      </w:r>
      <w:proofErr w:type="spellStart"/>
      <w:r w:rsidRPr="009C1AD8">
        <w:rPr>
          <w:rFonts w:ascii="Cambria" w:hAnsi="Cambria"/>
          <w:color w:val="000000"/>
          <w:sz w:val="22"/>
          <w:szCs w:val="22"/>
          <w:lang w:val="en-GB"/>
        </w:rPr>
        <w:t>Schoöllhorn</w:t>
      </w:r>
      <w:proofErr w:type="spellEnd"/>
      <w:r w:rsidRPr="009C1AD8">
        <w:rPr>
          <w:rFonts w:ascii="Cambria" w:hAnsi="Cambria"/>
          <w:color w:val="000000"/>
          <w:sz w:val="22"/>
          <w:szCs w:val="22"/>
          <w:lang w:val="en-GB"/>
        </w:rPr>
        <w:t xml:space="preserv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{"citationID":"a2hkjtros5b","properties":{"formattedCitation":"(Sch\\uc0\\u246{}llhorn, 2003)","plainCitation":"(Schöllhorn, 2003)","dontUpdate":true,"noteIndex":0},"citationItems":[{"id":3474,"uris":["http://zotero.org/groups/2252673/items/FUHD5ULZ",["http://zotero.org/groups/2252673/items/FUHD5ULZ"]],"itemData":{"id":3474,"type":"article-journal","container-title":"Int. J. Comp. Sci. Sport","journalAbbreviation":"Int. J. Comp. Sci. Sport","title":"Coordination Dynamics and its Consequences on Sports","author":[{"literal":"Schöllhorn"}],"issued":{"date-parts":[["2003"]]}}}],"schema":"https://github.com/citation-style-language/schema/raw/master/csl-citation.json"}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(2003)</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proposed a triad analysis consisting of  a) covered area by several or all players, b) common centre of gravity of several or all team members, and c) geometric shape which is formed by several or all team members. </w:t>
      </w:r>
      <w:commentRangeEnd w:id="6"/>
      <w:r w:rsidR="00D143AC">
        <w:rPr>
          <w:rStyle w:val="CommentReference"/>
        </w:rPr>
        <w:commentReference w:id="6"/>
      </w:r>
      <w:r w:rsidRPr="009C1AD8">
        <w:rPr>
          <w:rFonts w:ascii="Cambria" w:hAnsi="Cambria"/>
          <w:color w:val="000000"/>
          <w:sz w:val="22"/>
          <w:szCs w:val="22"/>
          <w:lang w:val="en-GB"/>
        </w:rPr>
        <w:t xml:space="preserve">This analysis method revealed that all changes of spatial parameters over time provided fruitful information about the behaviour of a team as a whole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{"citationID":"yyLFS4nI","properties":{"formattedCitation":"(Sch\\uc0\\u246{}llhorn, 2003)","plainCitation":"(Schöllhorn, 2003)","noteIndex":0},"citationItems":[{"id":3474,"uris":["http://zotero.org/groups/2252673/items/FUHD5ULZ",["http://zotero.org/groups/2252673/items/FUHD5ULZ"]],"itemData":{"id":3474,"type":"article-journal","container-title":"Int. J. Comp. Sci. Sport","journalAbbreviation":"Int. J. Comp. Sci. Sport","title":"Coordination Dynamics and its Consequences on Sports","author":[{"literal":"Schöllhorn"}],"issued":{"date-parts":[["2003"]]}}}],"schema":"https://github.com/citation-style-language/schema/raw/master/csl-citation.json"}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(Schöllhorn, 2003)</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However, this line of research was not further developed until 2008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{"citationID":"DEliB6nj","properties":{"formattedCitation":"(Yue et al., 2008)","plainCitation":"(Yue et al., 2008)","noteIndex":0},"citationItems":[{"id":4133,"uris":["http://zotero.org/groups/2252673/items/ZJFE7XL6",["http://zotero.org/groups/2252673/items/ZJFE7XL6"]],"itemData":{"id":4133,"type":"article-journal","container-title":"Studies in Applied Mathematics","DOI":"10.1111/j.1467-9590.2008.00413.x","ISSN":"00222526, 14679590","issue":"3","language":"en","page":"223-243","source":"Crossref","title":"Mathematical Analysis of a Soccer Game. Part I: Individual and Collective Behaviors","title-short":"Mathematical Analysis of a Soccer Game. Part I","volume":"121","author":[{"family":"Yue","given":"Zengyuan"},{"family":"Broich","given":"Holger"},{"family":"Seifriz","given":"Florian"},{"family":"Mester","given":"Joachim"}],"issued":{"date-parts":[["2008",10]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 xml:space="preserve">(Yue et al., </w:t>
      </w:r>
      <w:r w:rsidRPr="009C1AD8">
        <w:rPr>
          <w:rFonts w:ascii="Cambria" w:hAnsi="Cambria"/>
          <w:sz w:val="22"/>
        </w:rPr>
        <w:lastRenderedPageBreak/>
        <w:t>2008)</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From this year on, supported by technological development, several published studies have appeared on this topic and many variables of spatial positioning tracking in team sports have been analysed in order to measure tactical behaviour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{"citationID":"a182i53tuh5","properties":{"formattedCitation":"(Low, B et\\uc0\\u160{}al., 2020; Rico-Gonz\\uc0\\u225{}lez, Los Arcos, et\\uc0\\u160{}al., 2020; Rico-Gonz\\uc0\\u225{}lez, Pino-Ortega, et\\uc0\\u160{}al., 2020)","plainCitation":"(Low, B et al., 2020; Rico-González, Los Arcos, et al., 2020; Rico-González, Pino-Ortega, et al., 2020)","dontUpdate":true,"noteIndex":0},"citationItems":[{"id":4469,"uris":["http://zotero.org/groups/2252673/items/ZVINXG7X",["http://zotero.org/groups/2252673/items/ZVINXG7X"]],"itemData":{"id":4469,"type":"article-journal","abstract":"Background  Performance analysis research in association football has recently cusped a paradigmatic shift in the way tactical behaviours are studied. Based on insights from system complexity research, a growing number of studies now analyse tactical behaviours in football based on the collective movements of team players.\nObjective  The aim of this systematic review is to provide a summary of empirical research on collective tactical behaviours in football, with a particular focus on organising the methods used and their key findings.\nMethods  A systematic search of relevant English-language articles was performed on one database (Web of Science Core Collection) and one search engine (PubMed), based on PRISMA (Preferred Reporting Items for Systematic Reviews and Meta-analyses) guidelines. The keywords ‘football’ and ‘soccer’ were each paired with all possible combinations of the following keywords: ‘collective movement behaviour’, ‘collective behaviour’, ‘tactical behaviour’, ‘interpersonal coordination’, ‘space’, ‘Voronoi’, ‘synchronisation’, ‘tactical analysis’, ‘constraints’, ‘ecological dynamics’, and ‘dynamic positioning’. Empirical studies that were related to tactical analyses of footballers’ positional data were sought for inclusion and analysis.\nResults  Full-text articles of 77 studies were reviewed. A total of 27 tactical variables were identified, which were subsequently organised into 6 categories. In addition to conventional methods of linear analysis, 11 methods of nonlinear analysis were also used, which can be organised into measures of predictability (4 methods) and synchronisation (7 methods). The key findings of the reviewed studies were organised into two themes: levels of analysis, and levels of expertise.\nConclusions  Some trends in key findings revealed the following collective behaviours as possible indicators of better tactical expertise: higher movement regularity; wider dispersion in youth players and shorter readjustment delay between teammates and opponents. Characteristic behaviours were also observed as an effect of playing position, numerical inequality, and task constraints. Future research should focus on contextualising positional data, incorporating the needs of coaching staff, to better bridge the research-practice gap.","journalAbbreviation":"Sports Med","language":"en","page":"343-385","source":"Zotero","title":"A Systematic Review of Collective Tactical Behaviours in Football Using Positional Data","volume":"50","author":[{"literal":"Low, B"},{"literal":"Coutinho, D"},{"family":"Gonçalves, B","given":""},{"literal":"Rein, R"},{"literal":"Memmert, D"},{"literal":"Sampaio, J"}],"issued":{"date-parts":[["2020"]]}}},{"id":4465,"uris":["http://zotero.org/groups/2252673/items/B5D46Y6W",["http://zotero.org/groups/2252673/items/B5D46Y6W"]],"itemData":{"id":4465,"type":"article-journal","abstract":"The aim of the study was the identiﬁcation, computational examination, critical assessment and future considerations of distance variables to assess collective tactical behaviour in team invasion sports by positional data. A total of 3973 documents were initially retrieved. Finally, 72 articles met the inclusion criteria, but only 26 suggested original tactical variables based on the distance variables. The distance variables can be classiﬁed into player–player, player–space, player–ball, and Geometrical Centre (GC)–GC /player/space/goal. In addition, several nonlinear techniques have been used to analyse the synchronisation and predictability of the distance variables in team invasion sports. Player–opponent distance is of special interest in those sports in which man-marking is commonly used, and in the micro-structure close to scoring situations in all sports. In addition, player–player distances are used to measure the length and the width of the team and player–GC distance to assess the dispersion of the team. Player–space distances have been measured to assess the distance of the player/team-line to relevant areas of the playing space. Several techniques have been applied to analyse the synchronisation (i.e., Hilbert transformation and cluster analyses) and the complexity and regularity or predictability (i.e., approximate entropies, sample entropy, cross-sample entropy and average mutual information) of the distance variables in team invasion sports, revealing the lack of consensus. Although the distance variables may be interesting tactical variables when considered in isolation, it would be enriching to analyse the relationship among these variables.","container-title":"Int. J. Environ. Res. Public Health","language":"en","page":"14","source":"Zotero","title":"Identification, Computational Examination, Critical Assessment and Future Considerations of Distance Variables to Assess Collective Tactical Behaviour in Team Invasion Sports by Positional Data: A Systematic Review","author":[{"family":"Rico-González","given":"Markel"},{"family":"Pino-Ortega","given":"José"},{"family":"Nakamura","given":"Fabio Y"},{"family":"Moura","given":"Felipe Arruda"},{"family":"Arcos","given":"Asier Los"}],"issued":{"date-parts":[["2020"]]}}},{"id":4521,"uris":["http://zotero.org/groups/2252673/items/AN9T2574",["http://zotero.org/groups/2252673/items/AN9T2574"]],"itemData":{"id":4521,"type":"article-journal","abstract":"The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w:instrText>
      </w:r>
      <w:r w:rsidRPr="009C1AD8">
        <w:rPr>
          <w:rFonts w:ascii="Cambria" w:hAnsi="Cambria"/>
          <w:color w:val="000000"/>
          <w:sz w:val="22"/>
          <w:szCs w:val="22"/>
          <w:lang w:val="es-ES"/>
        </w:rPr>
        <w:instrText>our di</w:instrText>
      </w:r>
      <w:r w:rsidRPr="009C1AD8">
        <w:rPr>
          <w:rFonts w:ascii="Cambria" w:hAnsi="Cambria"/>
          <w:color w:val="000000"/>
          <w:sz w:val="22"/>
          <w:szCs w:val="22"/>
          <w:lang w:val="en-GB"/>
        </w:rPr>
        <w:instrText>ﬀ</w:instrText>
      </w:r>
      <w:r w:rsidRPr="009C1AD8">
        <w:rPr>
          <w:rFonts w:ascii="Cambria" w:hAnsi="Cambria"/>
          <w:color w:val="000000"/>
          <w:sz w:val="22"/>
          <w:szCs w:val="22"/>
          <w:lang w:val="es-ES"/>
        </w:rPr>
        <w:instrText xml:space="preserve">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lang w:val="es-ES"/>
        </w:rPr>
        <w:t>(Low et al., 2020; Rico-González, Los Arcos, et al., 2020; Rico-González, Pino-Ortega,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s-ES"/>
        </w:rPr>
        <w:t>.</w:t>
      </w:r>
    </w:p>
    <w:p w14:paraId="348B94F5" w14:textId="77777777" w:rsidR="00A4168E" w:rsidRPr="009C1AD8" w:rsidRDefault="00A4168E" w:rsidP="00A4168E">
      <w:pPr>
        <w:shd w:val="clear" w:color="auto" w:fill="FFFFFF"/>
        <w:ind w:firstLine="708"/>
        <w:jc w:val="both"/>
        <w:rPr>
          <w:rFonts w:ascii="Cambria" w:hAnsi="Cambria"/>
          <w:color w:val="000000"/>
          <w:sz w:val="22"/>
          <w:szCs w:val="22"/>
          <w:lang w:val="en-GB"/>
        </w:rPr>
      </w:pPr>
      <w:bookmarkStart w:id="7" w:name="_Hlk42723687"/>
      <w:r w:rsidRPr="009C1AD8">
        <w:rPr>
          <w:rFonts w:ascii="Cambria" w:hAnsi="Cambria"/>
          <w:color w:val="000000"/>
          <w:sz w:val="22"/>
          <w:szCs w:val="22"/>
          <w:lang w:val="en-GB"/>
        </w:rPr>
        <w:t>Several collective tactical variables have been classified into three geometric primitives (i.e. point, distance and polygon)</w:t>
      </w:r>
      <w:bookmarkEnd w:id="7"/>
      <w:r w:rsidRPr="009C1AD8">
        <w:rPr>
          <w:rFonts w:ascii="Cambria" w:hAnsi="Cambria"/>
          <w:color w:val="000000"/>
          <w:sz w:val="22"/>
          <w:szCs w:val="22"/>
          <w:lang w:val="en-GB"/>
        </w:rPr>
        <w:t xml:space="preserv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{"citationID":"a12dtk7nmqb","properties":{"formattedCitation":"(Rico-Gonz\\uc0\\u225{}lez, Los Arcos, et al., 2020; Rico-Gonz\\uc0\\u225{}lez, Pino-Ortega, et al., 2020)","plainCitation":"(Rico-González, Los Arcos, et al., 2020; Rico-González, Pino-Ortega, et al., 2020)","noteIndex":0},"citationItems":[{"id":4521,"uris":["http://zotero.org/groups/2252673/items/AN9T2574",["http://zotero.org/groups/2252673/items/AN9T2574"]],"itemData":{"id":4521,"type":"article-journal","abstract":"The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Arruda"},{"family":"Pino-Ortega","given":"José"}],"issued":{"date-parts":[["2020"]]}}},{"id":4465,"uris":["http://zotero.org/groups/2252673/items/B5D46Y6W",["http://zotero.org/groups/2252673/items/B5D46Y6W"]],"itemData":{"id":4465,"type":"article-journal","abstract":"The aim of the study was the identiﬁcation, computational examination, critical assessment and future considerations of distance variables to assess collective tactical behaviour in team invasion sports by positional data. A total of 3973 documents were initially retrieved. Finally, 72 articles met the inclusion criteria, but only 26 suggested original tactical variables based on the distance variables. The distance variables can be classiﬁed into player–player, player–space, player–ball, and Geometrical Centre (GC)–GC /player/space/goal. In addition, several nonlinear techniques have been used to analyse the synchronisation and predictability of the distance variables in team invasion sports. Player–opponent distance is of special interest in those sports in which man-marking is commonly used, and in the micro-structure close to scoring situations in</w:instrText>
      </w:r>
      <w:r w:rsidRPr="009C1AD8">
        <w:rPr>
          <w:rFonts w:ascii="Cambria" w:hAnsi="Cambria"/>
          <w:color w:val="000000"/>
          <w:sz w:val="22"/>
          <w:szCs w:val="22"/>
          <w:lang w:val="es-ES"/>
        </w:rPr>
        <w:instrText xml:space="preserve"> all sports. In addition, player–player distances are used to measure the length and the width of the team and player–GC distance to assess the dispersion of the team. Player–space distances have been measured to assess the distance of the player/team-line to relevant areas of the playing space. Several techniques have been applied to analyse the synchronisation (i.e., Hilbert transformation and cluster analyses) and the complexity and regularity or predictability (i.e., approximate entropies, sample entropy, cross-sample entropy and average mutual information) of the distance variables in team invasion sports, revealing the lack of consensus. Although the distance variables may be interesting tactical variables when considered in isolation, it would be enriching to analyse the relationship among these variables.","container-title":"Int. J. Environ. Res. Public Health","language":"en","page":"14","source":"Zotero","title":"Identification, Computational Examination, Critical Assessment and Future Considerations of Distance Variables to Assess Collective Tactical Behaviour in Team Invasion Sports by Positional Data: A Systematic Review","author":[{"family":"Rico-González","given":"Markel"},{"family":"Pino-Ortega","given":"José"},{"family":"Nakamura","given":"Fabio Y"},{"family":"Moura","given":"Felipe Arruda"},{"family":"Arcos","given":"Asier Los"}],"issued":{"date-parts":[["2020"]]}}}],"schema":"https://github.com/citation-style-language/schema/raw/master/csl-citation.json"}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lang w:val="es-ES"/>
        </w:rPr>
        <w:t>(Rico-González, Los Arcos, et al., 2020; Rico-González, Pino-Ortega,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s-ES"/>
        </w:rPr>
        <w:t xml:space="preserve">. </w:t>
      </w:r>
      <w:bookmarkStart w:id="8" w:name="_Hlk42723716"/>
      <w:r w:rsidRPr="009C1AD8">
        <w:rPr>
          <w:rFonts w:ascii="Cambria" w:hAnsi="Cambria"/>
          <w:color w:val="000000"/>
          <w:sz w:val="22"/>
          <w:szCs w:val="22"/>
          <w:lang w:val="en-GB"/>
        </w:rPr>
        <w:t xml:space="preserve">Among other tactical variables, the </w:t>
      </w:r>
      <w:r w:rsidRPr="009C1AD8">
        <w:rPr>
          <w:rFonts w:ascii="Cambria" w:hAnsi="Cambria"/>
          <w:i/>
          <w:color w:val="000000"/>
          <w:sz w:val="22"/>
          <w:szCs w:val="22"/>
          <w:lang w:val="en-GB"/>
        </w:rPr>
        <w:t>centroid (i.e. represented as a point)</w:t>
      </w:r>
      <w:r w:rsidRPr="009C1AD8">
        <w:rPr>
          <w:rFonts w:ascii="Cambria" w:hAnsi="Cambria"/>
          <w:color w:val="000000"/>
          <w:sz w:val="22"/>
          <w:szCs w:val="22"/>
          <w:lang w:val="en-GB"/>
        </w:rPr>
        <w:t xml:space="preserve">, </w:t>
      </w:r>
      <w:bookmarkEnd w:id="8"/>
      <w:r w:rsidRPr="009C1AD8">
        <w:rPr>
          <w:rFonts w:ascii="Cambria" w:hAnsi="Cambria"/>
          <w:color w:val="000000"/>
          <w:sz w:val="22"/>
          <w:szCs w:val="22"/>
          <w:lang w:val="en-GB"/>
        </w:rPr>
        <w:t xml:space="preserve">also named the geometrical centre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{"citationID":"a1cu253env6","properties":{"formattedCitation":"(Yue et al., 2008)","plainCitation":"(Yue et al., 2008)","noteIndex":0},"citationItems":[{"id":4133,"uris":["http://zotero.org/groups/2252673/items/ZJFE7XL6",["http://zotero.org/groups/2252673/items/ZJFE7XL6"]],"itemData":{"id":4133,"type":"article-journal","container-title":"Studies in Applied Mathematics","DOI":"10.1111/j.1467-9590.2008.00413.x","ISSN":"00222526, 14679590","issue":"3","language":"en","page":"223-243","source":"Crossref","title":"Mathematical Analysis of a Soccer Game. Part I: Individual and Collective Behaviors","title-short":"Mathematical Analysis of a Soccer Game. Part I","volume":"121","author":[{"family":"Yue","given":"Zengyuan"},{"family":"Broich","given":"Holger"},{"family":"Seifriz","given":"Florian"},{"family":"Mester","given":"Joachim"}],"issued":{"date-parts":[["2008",10]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(Yue et al., 2008)</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or centre of gravity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{"citationID":"OyoXLYjw","properties":{"formattedCitation":"(Sch\\uc0\\u246{}llhorn, 2003; Travassos et al., 2012)","plainCitation":"(Schöllhorn, 2003; Travassos et al., 2012)","noteIndex":0},"citationItems":[{"id":3474,"uris":["http://zotero.org/groups/2252673/items/FUHD5ULZ",["http://zotero.org/groups/2252673/items/FUHD5ULZ"]],"itemData":{"id":3474,"type":"article-journal","container-title":"Int. J. Comp. Sci. Sport","journalAbbreviation":"Int. J. Comp. Sci. Sport","title":"Coordination Dynamics and its Consequences on Sports","author":[{"literal":"Schöllhorn"}],"issued":{"date-parts":[["2003"]]}}},{"id":3911,"uris":["http://zotero.org/groups/2252673/items/38I4BHEM",["http://zotero.org/groups/2252673/items/38I4BHEM"]],"itemData":{"id":3911,"type":"article-journal","container-title":"Human Movement Science","DOI":"10.1016/j.humov.2011.10.004","ISSN":"01679457","issue":"4","language":"en","page":"932-945","source":"Crossref","title":"Spatiotemporal coordination patterns in futsal (indoor football) are guided by informational game constraints","volume":"31","author":[{"family":"Travassos","given":"B."},{"family":"Araújo","given":"D."},{"family":"Duarte","given":"R."},{"family":"McGarry","given":"T."}],"issued":{"date-parts":[["2012",8]]}}}],"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(Schöllhorn, 2003; Travassos et al., 2012)</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of the team, and </w:t>
      </w:r>
      <w:commentRangeStart w:id="9"/>
      <w:r w:rsidRPr="009C1AD8">
        <w:rPr>
          <w:rFonts w:ascii="Cambria" w:hAnsi="Cambria"/>
          <w:color w:val="000000"/>
          <w:sz w:val="22"/>
          <w:szCs w:val="22"/>
          <w:lang w:val="en-GB"/>
        </w:rPr>
        <w:t xml:space="preserve">TA (total area) (i.e. </w:t>
      </w:r>
      <w:r w:rsidRPr="009C1AD8">
        <w:rPr>
          <w:rFonts w:ascii="Cambria" w:hAnsi="Cambria"/>
          <w:i/>
          <w:color w:val="000000"/>
          <w:sz w:val="22"/>
          <w:szCs w:val="22"/>
          <w:lang w:val="en-GB"/>
        </w:rPr>
        <w:t>surface area</w:t>
      </w:r>
      <w:r w:rsidRPr="009C1AD8">
        <w:rPr>
          <w:rFonts w:ascii="Cambria" w:hAnsi="Cambria"/>
          <w:color w:val="000000"/>
          <w:sz w:val="22"/>
          <w:szCs w:val="22"/>
          <w:lang w:val="en-GB"/>
        </w:rPr>
        <w:t xml:space="preserve">) (i.e. represented as a polygon) </w:t>
      </w:r>
      <w:commentRangeEnd w:id="9"/>
      <w:r w:rsidR="00D143AC">
        <w:rPr>
          <w:rStyle w:val="CommentReference"/>
        </w:rPr>
        <w:commentReference w:id="9"/>
      </w:r>
      <w:r w:rsidRPr="009C1AD8">
        <w:rPr>
          <w:rFonts w:ascii="Cambria" w:hAnsi="Cambria"/>
          <w:color w:val="000000"/>
          <w:sz w:val="22"/>
          <w:szCs w:val="22"/>
          <w:lang w:val="en-GB"/>
        </w:rPr>
        <w:t>have been commonly measured in order to assess tactical behaviour in team sports.</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{"citationID":"a20ofmgdvql","properties":{"formattedCitation":"(Low, B et\\uc0\\u160{}al., 2020)","plainCitation":"(Low, B et al., 2020)","dontUpdate":true,"noteIndex":0},"citationItems":[{"id":4469,"uris":["http://zotero.org/groups/2252673/items/ZVINXG7X",["http://zotero.org/groups/2252673/items/ZVINXG7X"]],"itemData":{"id":4469,"type":"article-journal","abstract":"Background  Performance analysis research in association football has recently cusped a paradigmatic shift in the way tactical behaviours are studied. Based on insights from system complexity research, a growing number of studies now analyse tactical behaviours in football based on the collective movements of team players.\nObjective  The aim of this systematic review is to provide a summary of empirical research on collective tactical behaviours in football, with a particular focus on organising the methods used and their key findings.\nMethods  A systematic search of relevant English-language articles was performed on one database (Web of Science Core Collection) and one search engine (PubMed), based on PRISMA (Preferred Reporting Items for Systematic Reviews and Meta-analyses) guidelines. The keywords ‘football’ and ‘soccer’ were each paired with all possible combinations of the following keywords: ‘collective movement behaviour’, ‘collective behaviour’, ‘tactical behaviour’, ‘interpersonal coordination’, ‘space’, ‘Voronoi’, ‘synchronisation’, ‘tactical analysis’, ‘constraints’, ‘ecological dynamics’, and ‘dynamic positioning’. Empirical studies that were related to tactical analyses of footballers’ positional data were sought for inclusion and analysis.\nResults  Full-text articles of 77 studies were reviewed. A total of 27 tactical variables were identified, which were subsequently organised into 6 categories. In addition to conventional methods of linear analysis, 11 methods of nonlinear analysis were also used, which can be organised into measures of predictability (4 methods) and synchronisation (7 methods). The key findings of the reviewed studies were organised into two themes: levels of analysis, and levels of expertise.\nConclusions  Some trends in key findings revealed the following collective behaviours as possible indicators of better tactical expertise: higher movement regularity; wider dispersion in youth players and shorter readjustment delay between teammates and opponents. Characteristic behaviours were also observed as an effect of playing position, numerical inequality, and task constraints. Future research should focus on contextualising positional data, incorporating the needs of coaching staff, to better bridge the research-practice gap.","journalAbbreviation":"Sports Med","language":"en","page":"343-385","source":"Zotero","title":"A Systematic Review of Collective Tactical Behaviours in Football Using Positional Data","volume":"50","author":[{"literal":"Low, B"},{"literal":"Coutinho, D"},{"family":"Gonçalves, B","given":""},{"literal":"Rein, R"},{"literal":"Memmert, D"},{"literal":"Sampaio, J"}],"issued":{"date-parts":[["2020"]]}}}],"schema":"https://github.com/citation-style-language/schema/raw/master/csl-citation.json"}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(Low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The centroid represents, in a single variable, the relative positioning of each team in forward-backward and side-to-side movements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{"citationID":"6PmEV5ka","properties":{"formattedCitation":"(Ara\\uc0\\u250{}jo &amp; Davids, 2016)","plainCitation":"(Araújo &amp; Davids, 2016)","noteIndex":0},"citationItems":[{"id":4427,"uris":["http://zotero.org/groups/2252673/items/33EADKAS",["http://zotero.org/groups/2252673/items/33EADKAS"]],"itemData":{"id":4427,"type":"article-journal","abstract":"Individual players act as a coherent unit during team sports performance, forming a team synergy. A synergy is a collective property of a task-speciﬁc organization of individuals, such that the degrees of freedom of each individual in the system are coupled, enabling the degrees of freedom of different individuals to co-regulate each other. Here, we present an explanation for the emergence of such collective behaviors, indicating how these can be assessed and understood through the measurement of key system properties that exist, considering the contribution of each individual and beyond These include: to (i) dimensional compression, a process resulting in independent degree of freedom being coupled so that the synergy has fewer degrees of freedom than the set of components from which it arises; (ii) reciprocal compensation, if one element do not produce its function, other elements should display changes in their contributions so that task goals are still attained; (iii) interpersonal linkages, the speciﬁc contribution of each element to a group task; and (iv), degeneracy, structurally different components performing a similar, but not necessarily identical, function with respect to context. A primary goal of our analysis is to highlight the principles and tools required to understand coherent and dynamic team behaviors, as well as the performance conditions that make such team synergies possible, through perceptual attunement to shared affordances in individual performers. A key conclusion is that teams can be trained to perceive how to use and share speciﬁc affordances, explaining how individual’s behaviors self-organize into a group synergy. Ecological dynamics explanations of team behaviors can transit beyond mere ratiﬁcation of sport performance, providing a comprehensive conceptual framework to guide the implementation of diagnostic measures by sport scientists, sport psychologists and performance analysts. Complex adaptive systems, synergies, group behaviors, team sport performance, ecological dynamics, performance analysis.","container-title":"Frontiers in Psychology","DOI":"10.3389/fpsyg.2016.01449","ISSN":"1664-1078","language":"en","source":"Crossref","title":"Team Synergies in Sport: Theory and Measures","title-short":"Team Synergies in Sport","URL":"http://journal.frontiersin.org/Article/10.3389/fpsyg.2016.01449/abstract","volume":"7","author":[{"family":"Araújo","given":"D"},{"family":"Davids","given":"K"}],"accessed":{"date-parts":[["2019",2,12]]},"issued":{"date-parts":[["2016",9,21]]}}}],"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(Araújo &amp; Davids, 2016)</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The change in centroid position (CCP) is the distance in metres between two consecutive measured points of the centroid as the mid-point of the polygon. The TA represents the total field coverage of each team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{"citationID":"a29r10mmihj","properties":{"formattedCitation":"(Frencken, W &amp; Lemmink, K, 2009)","plainCitation":"(Frencken, W &amp; Lemmink, K, 2009)","dontUpdate":true,"noteIndex":0},"citationItems":[{"id":4524,"uris":["http://zotero.org/groups/2252673/items/ATDEHZCH",["http://zotero.org/groups/2252673/items/ATDEHZCH"]],"itemData":{"id":4524,"type":"chapter","container-title":"Science and Football VI","event-place":"Routledge Taylor &amp; Francis Group, Oxon","page":"161-166","publisher-place":"Routledge Taylor &amp; Francis Group, Oxon","source":"Zotero","title":"Team kinematics of small-sided soccer games: a systematic approach. In: Reilly, T, and F. Korkusuz (Eds.), Science and Football VI.","author":[{"family":"Frencken, W","given":"K. Lemmink"},{"family":"Lemmink, K","given":""}],"issued":{"date-parts":[["2009"]]}}}],"schema":"https://github.com/citation-style-language/schema/raw/master/csl-citation.json"}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(Frencken &amp; Lemmink,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and is habitually used along with the centroid to assess team behaviour in team sports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{"citationID":"ac6flonq8i","properties":{"formattedCitation":"(Barnab\\uc0\\u233{} et\\uc0\\u160{}al., 2016; W. Frencken et\\uc0\\u160{}al., 2011; Frencken, W &amp; Lemmink, K, 2009; Palucci Vieira et\\uc0\\u160{}al., 2018)","plainCitation":"(Barnabé et al., 2016; W. Frencken et al., 2011; Frencken, W &amp; Lemmink, K, 2009; Palucci Vieira et al., 2018)","dontUpdate":true,"noteIndex":0},"citationItems":[{"id":4172,"uris":["http://zotero.org/groups/2252673/items/CNMDNV2R",["http://zotero.org/groups/2252673/items/CNMDNV2R"]],"itemData":{"id":4172,"type":"article-journal","abstract":"The purpose of this study was to examine whether offensive and defensive collective behaviours emerging in six-a-side football games (GK+5 vs. 5+GK) varied according to age-related practice experience of young, male players (U16, U17 and U19 yrs). Players’ were not instructed to implement speciﬁc tactical plans and their movement trajectories (2D analyses) were recorded using 10 GPS units. Four common measures of team dispersion investigated in previous research (surface area, stretch index, length and width of a team) were used to analyse team performance behaviours. After recording these collective variables, we used sample entropy (SampEn) and cross-sample entropy (Cross-SampEn) measures to assess the regularity and synchronization of participant actions in teams. Results demonstrated clear age-related variations in effects on the collective performance measures analysed. In attacking phases, older and more experienced players occupied a greater surface area and displayed higher values of team width and stretch index. In defensive phases, signiﬁcant differences were observed in team length and stretch index. Cross-SampEn analysis demonstrated a greater synchronization between offensive and defensive surface areas and team width in older age groups (U17 and U19 yrs). Data suggest how coaches can manipulate practice task constraints to enhance development of team tactical performance behaviours in developing footballers between 16 and 19 yrs of age.","container-title":"Human Movement Science","DOI":"10.1016/j.humov.2016.04.007","ISSN":"01679457","language":"en","page":"74-81","source":"Crossref","title":"Age-related effects of practice experience on collective behaviours of football players in small-sided games","volume":"48","author":[{"family":"Barnabé","given":"Luís"},{"family":"Volossovitch","given":"Anna"},{"family":"Duarte","given":"Ricardo"},{"family":"Ferreira","given":"António Paulo"},{"family":"Davids","given":"Keith"}],"issued":{"date-parts":[["2016",8]]}}},{"id":3990,"uris":["http://zotero.org/groups/2252673/items/5V7L59VY",["http://zotero.org/groups/2252673/items/5V7L59VY"]],"itemData":{"id":3990,"type":"article-journal","abstract":"There is a need for a collective variable that captures the dynamics of team sports like soccer at match level. The centroid positions and surface areas of two soccer teams potentially describe the coordinated flow of attacking and defending in small-sided soccer games at team level. The aim of the present study was to identify an overall game pattern by establishing whether the proposed variables were linearly related between teams over the course of the game. In addition, we tried to identify patterns in the build-up of goals. A positive linear relation and a negative linear relation were hypothesized for the centroid positions and surface areas respectively. Finally, we hypothesized that deviations from these patterns are present in the build-up of goals. Ten young male elite soccer players (mean age 17.3, s00.7) played three small-sided soccer games (4-a-side) of 8 minutes as part of their regular training routine. An innovative player tracking system, local position measurement (LPM), was used for obtaining player positions at 45 Hz per player. Pearson correlation coefficients were calculated to investigate the proposed linear relation of the key variables. Correlation coefficients indicate a strong positive linear relation during a whole game for the centroid position in all three games, with the strongest relation for the forwardbackward direction (r  0.94). For 10 out of 19 goals a crossing of the centroids in this direction can be seen. No negative linear relation was found for surface area ((0.01Br B0.07). From this study, we concluded that over the course of a whole small-sided game, the forward-backward motion of the centroids is most strongly linearly related. Furthermore, goals show a specific pattern in the forward-backward motion of the centroid. Therefore, surface area and particularly centroid position may provide a sound basis for a collective variable that captures the dynamics of attacking and defending in soccer at team level. Future research should develop these ideas further.","container-title":"European Journal of Sport Science","DOI":"10.1080/17461391.2010.499967","ISSN":"1746-1391, 1536-7290","issue":"4","language":"en","page":"215-223","source":"Crossref","title":"Oscillations of centroid position and surface area of soccer teams in small-sided games","volume":"11","author":[{"family":"Frencken","given":"Wouter"},{"family":"Lemmink","given":"Koen"},{"family":"Delleman","given":"Nico"},{"family":"Visscher","given":"Chris"}],"issued":{"date-parts":[["2011",7]]}}},{"id":4164,"uris":["http://zotero.org/groups/2252673/items/XKK5WYXA",["http://zotero.org/groups/2252673/items/XKK5WYXA"]],"itemData":{"id":4164,"type":"article-journal","abstract":"Palucci Vieira, LH, Aquino, R, Moura, FA, Barros, RMLd, Arpini, VM, Oliveira, LdP, Bedo, BLdS, and Pereira Santiago, PR. Team dynamics, running, and skill-related performances of Brazilian U11 to professional soccer players during ofﬁcial matches. J Strength Cond Res XX(X): 000–000, 2018—Analyses of movements during soccer competition have been used previously to help develop conditioning programs. However, this has not been extensively studied in youth populations. Therefore, the purposes of this study were to examine (1) dynamics of collective tactical movements, (2) running, and (3) skill-related performances during soccer matches disputed by children to senior players. A total of 120 Brazilian players in the age groups U11, U13, U15, U17, U20, and professional (PRO) were monitored during ofﬁcial competition matches (N = 12). Using semiautomatic video-based tracking (30 Hz), match running variables including total distance traveled, average speed, maximum sprint speed, and high-intensity activities were evaluated. Tactical metrics were computed as team surface area, spread, and median frequency. Through notational analysis, technical skills such as involvements with the ball, passes, ball touches, duels, and goal attempts were also recorded. One-way analysis of variance and magnitude-based inferences were used to detect differences between ages. Although the average speed, team surface area, and spread tended to present stabilized increases from the U15 (e.g., U15 . U13 . U11), maximal sprinting speed (PRO . U17 . U15, U13, U11) and percentage at very high-intensity activities (U20 .","container-title":"Journal of Strength and Conditioning Research","D</w:instrText>
      </w:r>
      <w:r w:rsidRPr="009C1AD8">
        <w:rPr>
          <w:rFonts w:ascii="Cambria" w:hAnsi="Cambria"/>
          <w:color w:val="000000"/>
          <w:sz w:val="22"/>
          <w:szCs w:val="22"/>
          <w:lang w:val="fr-FR"/>
        </w:rPr>
        <w:instrText xml:space="preserve">OI":"10.1519/JSC.0000000000002577","ISSN":"1064-8011","language":"en","page":"1","source":"Crossref","title":"Team Dynamics, Running, and Skill-Related Performances of Brazilian U11 to Professional Soccer Players During Official Matches:","title-short":"Team Dynamics, Running, and Skill-Related Performances of Brazilian U11 to Professional Soccer Players During Official Matches","author":[{"family":"Palucci Vieira","given":"Luiz H."},{"family":"Aquino","given":"Rodrigo"},{"family":"Moura","given":"Felipe A."},{"family":"Barros","given":"Ricardo M.L","dropping-particle":"de"},{"family":"Arpini","given":"Vitor M."},{"family":"Oliveira","given":"Lucas P."},{"family":"Bedo","given":"Bruno L.S"},{"family":"Santiago","given":"Paulo R.P"}],"issued":{"date-parts":[["2018",4]]}}},{"id":4524,"uris":["http://zotero.org/groups/2252673/items/ATDEHZCH",["http://zotero.org/groups/2252673/items/ATDEHZCH"]],"itemData":{"id":4524,"type":"chapter","container-title":"Science and Football VI","event-place":"Routledge Taylor &amp; Francis Group, Oxon","page":"161-166","publisher-place":"Routledge Taylor &amp; Francis Group, Oxon","source":"Zotero","title":"Team kinematics of small-sided soccer games: a systematic approach. In: Reilly, T, and F. Korkusuz (Eds.), Science and Football VI.","author":[{"family":"Frencken, W","given":"K. Lemmink"},{"family":"Lemmink, K","given":""}],"issued":{"date-parts":[["2009"]]}}}],"schema":"https://github.com/citation-style-language/schema/raw/master/csl-citation.json"}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lang w:val="fr-FR"/>
        </w:rPr>
        <w:t>(Barnabé et al., 2016; Frencken et al., 2011; Frencken &amp; Lemmink, 2009; Palucci Vieira et al., 2018)</w:t>
      </w:r>
      <w:r w:rsidRPr="009C1AD8">
        <w:rPr>
          <w:rFonts w:ascii="Cambria" w:hAnsi="Cambria"/>
          <w:color w:val="000000"/>
          <w:sz w:val="22"/>
          <w:szCs w:val="22"/>
          <w:lang w:val="en-GB"/>
        </w:rPr>
        <w:fldChar w:fldCharType="end"/>
      </w:r>
      <w:r w:rsidRPr="009C1AD8">
        <w:rPr>
          <w:rFonts w:ascii="Cambria" w:hAnsi="Cambria"/>
          <w:color w:val="000000"/>
          <w:sz w:val="22"/>
          <w:szCs w:val="22"/>
          <w:lang w:val="fr-FR"/>
        </w:rPr>
        <w:t xml:space="preserve">. </w:t>
      </w:r>
      <w:r w:rsidRPr="009C1AD8">
        <w:rPr>
          <w:rFonts w:ascii="Cambria" w:hAnsi="Cambria"/>
          <w:color w:val="000000"/>
          <w:sz w:val="22"/>
          <w:szCs w:val="22"/>
          <w:lang w:val="en-GB"/>
        </w:rPr>
        <w:t xml:space="preserve">TA is defined as total square metres of a polygon described by players as its vertex point. It is also used to assess inter-team coordination through measurement of coupling stretch, relative phase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{"citationID":"a1dhbk6vjt5","properties":{"formattedCitation":"(Lames, M., Ertmer, J., &amp; Walter, F., 2010; Silva et\\uc0\\u160{}al., 2014)","plainCitation":"(Lames, M., Ertmer, J., &amp; Walter, F., 2010; Silva et al., 2014)","dontUpdate":true,"noteIndex":0},"citationItems":[{"id":3714,"uris":["http://zotero.org/groups/2252673/items/DRPKEJMD",["http://zotero.org/groups/2252673/items/DRPKEJMD"]],"itemData":{"id":3714,"type":"article-journal","issue":"4","journalAbbreviation":"International Journal of Sport Psychology","page":"85","title":"Oscillations in football - order and disorder in spatial interactions between the two teams","volume":"41","author":[{"family":"Lames, M., Ertmer, J., &amp; Walter, F.","given":"Lames","suffix":""}],"issued":{"date-parts":[["2010"]]}}},{"id":4189,"uris":["http://zotero.org/groups/2252673/items/2RKT7ELB",["http://zotero.org/groups/2252673/items/2RKT7ELB"]],"itemData":{"id":4189,"type":"article-journal","abstract":"This study analysed the inﬂuence of ﬁeld dimension and players’ skill level on collective tactical behaviours during smallsided and conditioned games (SSCGs). Positioning and displacement data were collected using global positioning systems (15 Hz) during SSCGs (Gk+4 v. 4+Gk) played by two groups of participants (NLP- national-level and RLP-regional-level players) on different ﬁeld dimensions (small: 36.8 × 23.8 m; intermediate: 47.3 × 30.6 and large: 57.8 × 37.4 m). Team tactical performance was assessed through established dynamic team variables (effective playing space, playing length per width ratio and team separateness) and nonlinear signal processing techniques (sample entropy of distances to nearest opponents and the teams’ centroids’ mutual information). Results showed that the effective playing space and team separateness increased signiﬁcantly with pitch size regardless of participant skill level (P &lt; 0.001, η2 = 0.78 and P &lt; 0.001, η2 = 0.65, respectively). Playing length per width ratio increased with pitch size for the NLP but was maintained at a relatively constant level by RLP across treatments indicating different playing shapes. There was signiﬁcantly more irregularity in distances to nearest opponents for the NLP in small (P = 0.003) and intermediate ﬁelds (P = 0.01). Findings suggest that tactical behaviours in SSCGs are constrained by ﬁeld size and skill level, which need to be considered by coaches when designing training practices.","container-title":"Journal of Sports Sciences","DOI":"10.1080/02640414.2014.961950","ISSN":"0264-0414, 1466-447X","issue":"20","language":"en","page":"1888-1896","source":"Crossref","title":"Field dimension and skill level constrain team tactical behaviours in small-sided and conditioned games in football","volume":"32","author":[{"family":"Silva","given":"Pedro"},{"family":"Duarte","given":"Ricardo"},{"family":"Sampaio","given":"Jaime"},{"family":"Aguiar","given":"Paulo"},{"family":"Davids","given":"Keith"},{"family":"Araújo","given":"Duarte"},{"family":"Garganta","given":"Júlio"}],"issued":{"date-parts":[["2014",12,14]]}}}],"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(Lames, Ertmer, &amp; Walter, 2010; Silva et al., 2014)</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and </w:t>
      </w:r>
      <w:r w:rsidRPr="009C1AD8">
        <w:rPr>
          <w:rFonts w:ascii="Cambria" w:hAnsi="Cambria"/>
          <w:i/>
          <w:color w:val="000000"/>
          <w:sz w:val="22"/>
          <w:szCs w:val="22"/>
          <w:lang w:val="en-GB"/>
        </w:rPr>
        <w:t>pressure</w:t>
      </w:r>
      <w:r w:rsidRPr="009C1AD8">
        <w:rPr>
          <w:rFonts w:ascii="Cambria" w:hAnsi="Cambria"/>
          <w:color w:val="000000"/>
          <w:sz w:val="22"/>
          <w:szCs w:val="22"/>
          <w:lang w:val="en-GB"/>
        </w:rPr>
        <w:t xml:space="preserve"> index if compared to the team´s centroids distance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{"citationID":"a2lu44k9s4e","properties":{"formattedCitation":"(Frencken, W &amp; Lemmink, K, 2009)","plainCitation":"(Frencken, W &amp; Lemmink, K, 2009)","dontUpdate":true,"noteIndex":0},"citationItems":[{"id":4524,"uris":["http://zotero.org/groups/2252673/items/ATDEHZCH",["http://zotero.org/groups/2252673/items/ATDEHZCH"]],"itemData":{"id":4524,"type":"chapter","container-title":"Science and Football VI","event-place":"Routledge Taylor &amp; Francis Group, Oxon","page":"161-166","publisher-place":"Routledge Taylor &amp; Francis Group, Oxon","source":"Zotero","title":"Team kinematics of small-sided soccer games: a systematic approach. In: Reilly, T, and F. Korkusuz (Eds.), Science and Football VI.","author":[{"family":"Frencken, W","given":"K. Lemmink"},{"family":"Lemmink, K","given":""}],"issued":{"date-parts":[["2009"]]}}}],"schema":"https://github.com/citation-style-language/schema/raw/master/csl-citation.json"}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(Frencken &amp; Lemmink,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This variable expresses the relationship between the tactical shapes adopted and spaces exploited by both teams to support analysis of how they vary over time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{"citationID":"oUfBEOta","properties":{"formattedCitation":"(Barnab\\uc0\\u233{} et al., 2016)","plainCitation":"(Barnabé et al., 2016)","noteIndex":0},"citationItems":[{"id":4172,"uris":["http://zotero.org/groups/2252673/items/CNMDNV2R",["http://zotero.org/groups/2252673/items/CNMDNV2R"]],"itemData":{"id":4172,"type":"article-journal","abstract":"The purpose of this study was to examine whether offensive and defensive collective behaviours emerging in six-a-side football games (GK+5 vs. 5+GK) varied according to age-related practice experience of young, male players (U16, U17 and U19 yrs). Players’ were not instructed to implement speciﬁc tactical plans and their movement trajectories (2D analyses) were recorded using 10 GPS units. Four common measures of team dispersion investigated in previous research (surface area, stretch index, length and width of a team) were used to analyse team performance behaviours. After recording these collective variables, we used sample entropy (SampEn) and cross-sample entropy (Cross-SampEn) measures to assess the regularity and synchronization of participant actions in teams. Results demonstrated clear age-related variations in effects on the collective performance measures analysed. In attacking phases, older and more experienced players occupied a greater surface area and displayed higher values of team width and stretch index. In defensive phases, signiﬁcant differences were observed in team length and stretch index. Cross-SampEn analysis demonstrated a greater synchronization between offensive and defensive surface areas and team width in older age groups (U17 and U19 yrs). Data suggest how coaches can manipulate practice task constraints to enhance development of team tactical performance behaviours in developing footballers between 16 and 19 yrs of age.","container-title":"Human Movement Science","DOI":"10.1016/j.humov.2016.04.007","ISSN":"01679457","language":"en","page":"74-81","source":"Crossref","title":"Age-related effects of practice experience on collective behaviours of football players in small-sided games","volume":"48","author":[{"family":"Barnabé","given":"Luís"},{"family":"Volossovitch","given":"Anna"},{"family":"Duarte","given":"Ricardo"},{"family":"Ferreira","given":"António Paulo"},{"family":"Davids","given":"Keith"}],"issued":{"date-parts":[["2016",8]]}}}],"schema":"https://github.com/citation-style-language/schema/raw/master/csl-citation.json"}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(Barnabé et al., 2016)</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In addition, it has been used as a </w:t>
      </w:r>
      <w:r w:rsidRPr="009C1AD8">
        <w:rPr>
          <w:rFonts w:ascii="Cambria" w:hAnsi="Cambria"/>
          <w:i/>
          <w:color w:val="000000"/>
          <w:sz w:val="22"/>
          <w:szCs w:val="22"/>
          <w:lang w:val="en-GB"/>
        </w:rPr>
        <w:t>pressure</w:t>
      </w:r>
      <w:r w:rsidRPr="009C1AD8">
        <w:rPr>
          <w:rFonts w:ascii="Cambria" w:hAnsi="Cambria"/>
          <w:color w:val="000000"/>
          <w:sz w:val="22"/>
          <w:szCs w:val="22"/>
          <w:lang w:val="en-GB"/>
        </w:rPr>
        <w:t xml:space="preserve"> index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{"citationID":"acgjgdm0s2","properties":{"formattedCitation":"(W. Frencken et\\uc0\\u160{}al., 2011; Frencken, W &amp; Lemmink, K, 2009)","plainCitation":"(W. Frencken et al., 2011; Frencken, W &amp; Lemmink, K, 2009)","dontUpdate":true,"noteIndex":0},"citationItems":[{"id":4524,"uris":["http://zotero.org/groups/2252673/items/ATDEHZCH",["http://zotero.org/groups/2252673/items/ATDEHZCH"]],"itemData":{"id":4524,"type":"chapter","container-title":"Science and Football VI","event-place":"Routledge Taylor &amp; Francis Group, Oxon","page":"161-166","publisher-place":"Routledge Taylor &amp; Francis Group, Oxon","source":"Zotero","title":"Team kinematics of small-sided soccer games: a systematic approach. In: Reilly, T, and F. Korkusuz (Eds.), Science and Football VI.","author":[{"family":"Frencken, W","given":"K. Lemmink"},{"family":"Lemmink, K","given":""}],"issued":{"date-parts":[["2009"]]}}},{"id":3990,"uris":["http://zotero.org/groups/2252673/items/5V7L59VY",["http://zotero.org/groups/2252673/items/5V7L59VY"]],"itemData":{"id":3990,"type":"article-journal","abstract":"There is a need for a collective variable that captures the dynamics of team sports like soccer at match level. The centroid positions and surface areas of two soccer teams potentially describe the coordinated flow of attacking and defending in small-sided soccer games at team level. The aim of the present study was to identify an overall game pattern by establishing whether the proposed variables were linearly related between teams over the course of the game. In addition, we tried to identify patterns in the build-up of goals. A positive linear relation and a negative linear relation were hypothesized for the centroid positions and surface areas respectively. Finally, we hypothesized that deviations from these patterns are present in the build-up of goals. Ten young male elite soccer players (mean age 17.3, s00.7) played three small-sided soccer games (4-a-side) of 8 minutes as part of their regular training routine. An innovative player tracking system, local position measurement (LPM), was used for obtaining player positions at 45 Hz per player. Pearson correlation coefficients were calculated to investigate the proposed linear relation of the key variables. Correlation coefficients indicate a strong positive linear relation during a whole game for the centroid position in all three games, with the strongest relation for the forwardbackward direction (r  0.94). For 10 out of 19 goals a crossing of the centroids in this direction can be seen. No negative linear relation was found for surface area ((0.01Br B0.07). From this study, we concluded that over the course of a whole small-sided game, the forward-backward motion of the centroids is most strongly linearly related. Furthermore, goals show a specific pattern in the forward-backward motion of the centroid. Therefore, surface area and particularly centroid position may provide a sound basis for a collective variable that captures the dynamics of attacking and defending in soccer at team level. Future research should develop these ideas further.","container-title":"European Journal of Sport Science","DOI":"10.1080/17461391.2010.499967","ISSN":"1746-1391, 1536-7290","issue":"4","language":"en","page":"215-223","source":"Crossref","title":"Oscillations of centroid position and surface area of soccer teams in small-sided games","volume":"11","author":[{"family":"Frencken","given":"Wouter"},{"family":"Lemmink","given":"Koen"},{"family":"Delleman","given":"Nico"},{"family":"Visscher","given":"Chris"}],"issued":{"date-parts":[["2011",7]]}}}],"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(Frencken et al., 2011; Frencken &amp; Lemmink,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Furthermore, the importance of increasing TA for the attacking sub-groups has been suggested to destabilise the opposing team and create shooting opportunities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{"citationID":"av2h09dpbt","properties":{"formattedCitation":"(Duarte et al., 2012)","plainCitation":"(Duarte et al., 2012)","noteIndex":0},"citationItems":[{"id":4136,"uris":["http://zotero.org/groups/2252673/items/ZGR25YWZ",["http://zotero.org/groups/2252673/items/ZGR25YWZ"]],"itemData":{"id":4136,"type":"article-journal","abstract":"This study examined emergent coordination processes in collective patterns of behavior in 3 vs 3 sub-phases of the team sport of association football near the scoring zone. We identiﬁed coordination tendencies for the centroid (i.e., team center) and surface area (i.e., occupied space) of each sub-group of performers (n = 20 plays). We also compared these kinematic variables at three key moments of play using mixed-model ANOVAs. The centroids demonstrated a strong symmetric relation that described the coordinated attacking/defending actions of performers in this sub-phase of play. Conversely, analysis of the surface area of each team did not reveal a clear coordination pattern between subgroups. But the difference in the occupied area between the attacking and defending sub-groups signiﬁcantly increased over time. Findings emphasized that major changes in sub-group behaviors occurred just before an assisted pass was made (i.e., leading to a loss of stability in the 3 vs 3 sub-phases).","container-title":"Human Movement Science","DOI":"10.1016/j.humov.2012.03.001","ISSN":"01679457","issue":"6","language":"en","page":"1639-1651","source":"Crossref","title":"Intra- and inter-group coordination patterns reveal collective behaviors of football players near the scoring zone","volume":"31","author":[{"family":"Duarte","given":"Ricardo"},{"family":"Araújo","given":"Duarte"},{"family":"Freire","given":"Luís"},{"family":"Folgado","given":"Hugo"},{"family":"Fernandes","given":"Orlando"},{"family":"Davids","given":"Keith"}],"issued":{"date-parts":[["2012",12]]}}}],"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(Duarte et al., 2012)</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w:t>
      </w:r>
    </w:p>
    <w:p w14:paraId="69DE4B2D" w14:textId="77777777" w:rsidR="00A4168E" w:rsidRPr="009C1AD8" w:rsidRDefault="00A4168E" w:rsidP="00A4168E">
      <w:pPr>
        <w:shd w:val="clear" w:color="auto" w:fill="FFFFFF"/>
        <w:ind w:firstLine="708"/>
        <w:jc w:val="both"/>
        <w:rPr>
          <w:rFonts w:ascii="Cambria" w:hAnsi="Cambria"/>
          <w:sz w:val="22"/>
          <w:szCs w:val="22"/>
          <w:lang w:val="en-GB"/>
        </w:rPr>
      </w:pPr>
      <w:bookmarkStart w:id="10" w:name="_Hlk42468319"/>
      <w:r w:rsidRPr="009C1AD8">
        <w:rPr>
          <w:rFonts w:ascii="Cambria" w:hAnsi="Cambria"/>
          <w:color w:val="000000"/>
          <w:sz w:val="22"/>
          <w:szCs w:val="22"/>
          <w:lang w:val="en-GB"/>
        </w:rPr>
        <w:t xml:space="preserve">These variables are based on positional data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{"citationID":"a29bnej6n3p","properties":{"formattedCitation":"(Rico-Gonz\\uc0\\u225{}lez, Arcos, et al., 2020)","plainCitation":"(Rico-González, Arcos, et al., 2020)","noteIndex":0},"citationItems":[{"id":4344,"uris":["http://zotero.org/groups/2252673/items/99K66XHG",["http://zotero.org/groups/2252673/items/99K66XHG"]],"itemData":{"id":4344,"type":"article-journal","abstract":"Electronic performance and tracking systems (EPTS) and microelectromechanical systems (MEMS) allow the measurement of training load (TL) and collective behavior in team sports so that match performance can be optimized. Despite the frequent use of radio-frequency (RF) technology (i.e., global positioning navigation systems (GNSS/global positioning systems (GPS)) and, local position systems (LPS)) and MEMS in sports research, there is no protocol that must be followed, nor are there any set guidelines for evaluating the quality of the data collection process in studies. Thus, this study aims to suggest a survey based on previously used protocols to evaluate the quality of data recorded by RF technology and MEMS in team sports. A quality check sheet was proposed considering 13 general criteria items. Four additional items for GNSS/GPS, eight additional items for LPS, and ﬁve items for MEMS were suggested. This information for evaluating the quality of the data collection process should be reported in the methods sections of future studies.","container-title":"Sensors","language":"en","page":"16","source":"Zotero","title":"A Survey to Assess the Quality of the Data Obtained by Radio-Frequency Technologies and Microelectromechanical Systems to Measure External Workload and Collective Behavior Variables in Team Sports","author":[{"family":"Rico-González","given":"Markel"},{"family":"Arcos","given":"Asier Los"},{"family":"Rojas-Valverde","given":"Daniel"},{"family":"Clemente","given":"Filipe M"},{"family":"Pino-Ortega","given":"José"}],"issued":{"date-parts":[["2020"]]}}}],"schema":"https://github.com/citation-style-language/schema/raw/master/csl-citation.json"}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(Rico-González, Arcos,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Currently, FIFA collectively labels an assortment of competing tracking technologies that that differ in their methods or protocols as Electronic Performance and Tracking Systems (EPTS). </w:t>
      </w:r>
      <w:bookmarkEnd w:id="10"/>
      <w:r w:rsidRPr="009C1AD8">
        <w:rPr>
          <w:rFonts w:ascii="Cambria" w:hAnsi="Cambria"/>
          <w:color w:val="000000"/>
          <w:sz w:val="22"/>
          <w:szCs w:val="22"/>
          <w:lang w:val="en-GB"/>
        </w:rPr>
        <w:t xml:space="preserve">Using EPTS, one of the parameters that researchers can modify according to their needs is the sampling rate of data collected per second, called “raw data” and expressed in hertz (Hz)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{"citationID":"GbQGInra","properties":{"formattedCitation":"(Winter, 2009)","plainCitation":"(Winter, 2009)","noteIndex":0},"citationItems":[{"id":3961,"uris":["http://zotero.org/groups/2252673/items/X4QT2WG5",["http://zotero.org/groups/2252673/items/X4QT2WG5"]],"itemData":{"id":3961,"type":"book","edition":"4. ed","event-place":"Hoboken, NJ","ISBN":"978-0-470-39818-0","language":"en","note":"OCLC: 318408191","number-of-pages":"370","publisher":"John Wiley &amp; Sons, Inc., Hoboken, New Jersey","publisher-place":"Hoboken, NJ","source":"Gemeinsamer Bibliotheksverbund ISBN","title":"Biomechanics and motor control of human movement","author":[{"family":"Winter","given":"David A."}],"issued":{"date-parts":[["2009"]]}}}],"schema":"https://github.com/citation-style-language/schema/raw/master/csl-citation.json"}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(Winter,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Among other factors, the sample rate capacity, which varies between EPTS technologies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{"citationID":"CLT2VSWz","properties":{"formattedCitation":"(Malone et al., 2017; Rico-Gonz\\uc0\\u225{}lez, Los Arcos, et al., 2020)","plainCitation":"(Malone et al., 2017; Rico-González, Los Arcos, et al., 2020)","noteIndex":0},"citationItems":[{"id":3720,"uris":["http://zotero.org/groups/2252673/items/XJ79RVP9",["http://zotero.org/groups/2252673/items/XJ79RVP9"]],"itemData":{"id":3720,"type":"article-journal","abstract":"Athlete-tracking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(Malone et al., 2017; Rico-González, Los Arcos,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influences the accuracy of the reported position of individual players on the pitch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{"citationID":"16f87yd4","properties":{"formattedCitation":"(Duarte et\\uc0\\u160{}al., 2010; W. G. P. Frencken et\\uc0\\u160{}al., 2010; Leser et\\uc0\\u160{}al., 2011)","plainCitation":"(Duarte et al., 2010; W. G. P. Frencken et al., 2010; Leser et al., 2011)","dontUpdate":true,"noteIndex":0},"citationItems":[{"id":3864,"uris":["http://zotero.org/groups/2252673/items/DLFSVVS2",["http://zotero.org/groups/2252673/items/DLFSVVS2"]],"itemData":{"id":3864,"type":"article-journal","abstract":"Background and objective. In the last years, several motion analysis methods have been developed without considering representative contexts for sports performance. The purpose of this paper was to explain and underscore a straightforward method to measure human behavior in these contexts.","container-title":"Medicina","DOI":"10.3390/medicina46060057","ISSN":"1010-660X","issue":"6","language":"en","page":"408","source":"Crossref","title":"Capturing complex human behaviors in representative sports contexts with a single camera","volume":"46","author":[{"family":"Duarte","given":"Ricardo"},{"family":"Araújo","given":"Duarte"},{"family":"Fernandes","given":"Orlando"},{"family":"Fonseca","given":"Cristina"},{"family":"Correia","given":"Vanda"},{"family":"Gazimba","given":"Vítor"},{"family":"Travassos","given":"Bruno"},{"family":"Esteves","given":"Pedro"},{"family":"Vilar","given":"Luís"},{"family":"Lopes","given":"José"}],"issued":{"date-parts":[["2010",6,12]]}}},{"id":3970,"uris":["http://zotero.org/groups/2252673/items/MKV3YRZY",["http://zotero.org/groups/2252673/items/MKV3YRZY"]],"itemData":{"id":3970,"type":"article-journal","abstract":"Limited data is available on accuracy and validity of video-based, GPS and electronic tracking systems, particularly with reference to curved courses and short high intensity running activities. The main goal of this study was to assess soccer-speciﬁc accuracy and validity of the radio-frequency based local position measurement (LPM) system (1000 Hz) for measuring distance and speed during walking and sprinting. Three males walked and sprinted 4 soccer-speciﬁc courses 10 times each. Distance and speed recorded by LPM were compared to actual distance and speed measured by measuring tape and timing gates. In addition, accuracy was assessed. The static accuracy (SD of the mean) is 1 cm for devices put on the pitch and 2–3 cm when worn by participants. LPM underestimates actual distance (mean difference at most −1.6%). Coefﬁcient of variation becomes larger at higher speed and increased turning angle. With regard to speed, validity correlations are high (range: 0.71–0.97). The LPM speed is signiﬁcantly and systematically lower, although absolute and relative differences are small, between −0.1 km h−1 (−1.3%) and −0.6 km h−1 (−3.9%). The typical error of the estimate increases with increased speed, but does not increase with increased turning angle. Because the reported differences are small, we conclude that the LPM-system produces highly accurate position and speed data in static and dynamic conditions and is a valid tool for player tracking in soccer and ball team sports in general.","container-title":"Journal of Science and Medicine in Sport","DOI":"10.1016/j.jsams.2010.04.003","ISSN":"14402440","issue":"6","language":"en","page":"641-645","source":"Crossref","title":"Soccer-specific accuracy and validity of the local position measurement (LPM) system","volume":"13","author":[{"family":"Frencken","given":"Wouter G.P."},{"family":"Lemmink","given":"Koen A.P.M."},{"family":"Delleman","given":"Nico J."}],"issued":{"date-parts":[["2010",11]]}}},{"id":4091,"uris":["http://zotero.org/groups/2252673/items/AN473Z7Q",["http://zotero.org/groups/2252673/items/AN473Z7Q"]],"itemData":{"id":4091,"type":"article-journal","abstract":"Position data of players and athletes are widely used in sports performance analysis for measuring the amounts of physical activities as well as for tactical assessments in game sports. However, positioning sensing systems are applied in sports as tools to gain objective information of sports behavior rather than as components of intelligent spaces (IS). The paper outlines the idea of IS for the sports context with special focus to game sports and how intelligent sports feedback systems can benefit from IS. Henceforth, the most common location sensing techniques used in sports and their practical application are reviewed, as location is among the most important enabling techniques for IS. Furthermore, the article exemplifies the idea of IS in sports on two applications.","container-title":"Sensors","DOI":"10.3390/s111009778","ISSN":"1424-8220","issue":"10","language":"en","page":"9778-9797","source":"Crossref","title":"Local Positioning Systems in (Game) Sports","volume":"11","author":[{"family":"Leser","given":"Roland"},{"family":"Baca","given":"Arnold"},{"family":"Ogris","given":"Georg"}],"issued":{"date-parts":[["2011",10,19]]}}}],"schema":"https://github.com/citation-style-language/schema/raw/master/csl-citation.json"}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(Duarte et al., 2010; Frencken et al., 2010; Leser et al., 2011)</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and, consequently, the accuracy of team behaviour variables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{"citationID":"7F8G9afj","properties":{"formattedCitation":"(Rico-Gonz\\uc0\\u225{}lez, Los Arcos, et al., 2020)","plainCitation":"(Rico-González, Los Arcos, et al., 2020)","noteIndex":0},"citationItems":[{"id":4521,"uris":["http://zotero.org/groups/2252673/items/AN9T2574",["http://zotero.org/groups/2252673/items/AN9T2574"]],"itemData":{"id":4521,"type":"article-journal","abstract":"The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(Rico-González, Los Arcos,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Deciding before the investigation which sampling frequency is to be used when recording the data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raw data) is fundamental to avoid violating the Nyquist sampling theorem. The theorem shows that the sampling frequency must be at least twice as high as the highest frequency given by the signal itself (i.e. if the amount of Hz is too low, errors or bias will occur in the recording) </w:t>
      </w:r>
      <w:commentRangeStart w:id="11"/>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{"citationID":"CcbkTwLW","properties":{"formattedCitation":"(Winter, 2009)","plainCitation":"(Winter, 2009)","noteIndex":0},"citationItems":[{"id":3961,"uris":["http://zotero.org/groups/2252673/items/X4QT2WG5",["http://zotero.org/groups/2252673/items/X4QT2WG5"]],"itemData":{"id":3961,"type":"book","edition":"4. ed","event-place":"Hoboken, NJ","ISBN":"978-0-470-39818-0","language":"en","note":"OCLC: 318408191","number-of-pages":"370","publisher":"John Wiley &amp; Sons, Inc., Hoboken, New Jersey","publisher-place":"Hoboken, NJ","source":"Gemeinsamer Bibliotheksverbund ISBN","title":"Biomechanics and motor control of human movement","author":[{"family":"Winter","given":"David A."}],"issued":{"date-parts":[["2009"]]}}}],"schema":"https://github.com/citation-style-language/schema/raw/master/csl-citation.json"}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szCs w:val="22"/>
        </w:rPr>
        <w:t>(Winter,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w:t>
      </w:r>
      <w:commentRangeEnd w:id="11"/>
      <w:r w:rsidR="00B325C8">
        <w:rPr>
          <w:rStyle w:val="CommentReference"/>
        </w:rPr>
        <w:commentReference w:id="11"/>
      </w:r>
      <w:r w:rsidRPr="009C1AD8">
        <w:rPr>
          <w:rFonts w:ascii="Cambria" w:hAnsi="Cambria"/>
          <w:color w:val="000000"/>
          <w:sz w:val="22"/>
          <w:szCs w:val="22"/>
          <w:lang w:val="en-GB"/>
        </w:rPr>
        <w:t xml:space="preserve">However, when the sampling frequency is too high, the signal may be distorted by noise, which increases linearly with frequency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{"citationID":"a25elju5o50","properties":{"formattedCitation":"(Winter, 2009)","plainCitation":"(Winter, 2009)","noteIndex":0},"citationItems":[{"id":3961,"uris":["http://zotero.org/groups/2252673/items/X4QT2WG5",["http://zotero.org/groups/2252673/items/X4QT2WG5"]],"itemData":{"id":3961,"type":"book","edition":"4. ed","event-place":"Hoboken, NJ","ISBN":"978-0-470-39818-0","language":"en","note":"OCLC: 318408191","number-of-pages":"370","publisher":"John Wiley &amp; Sons, Inc., Hoboken, New Jersey","publisher-place":"Hoboken, NJ","source":"Gemeinsamer Bibliotheksverbund ISBN","title":"Biomechanics and motor control of human movement","author":[{"family":"Winter","given":"David A."}],"issued":{"date-parts":[["2009"]]}}}],"schema":"https://github.com/citation-style-language/schema/raw/master/csl-citation.json"}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szCs w:val="22"/>
        </w:rPr>
        <w:t>(Winter,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In this sense, lowpass digital filtering of noisy signals has been an important procedure because the objective of any filtering technique is to attenuate noise and leave the true signal unaffected and stable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{"citationID":"akbc93rf29","properties":{"formattedCitation":"(Winter, 2009)","plainCitation":"(Winter, 2009)","noteIndex":0},"citationItems":[{"id":3961,"uris":["http://zotero.org/groups/2252673/items/X4QT2WG5",["http://zotero.org/groups/2252673/items/X4QT2WG5"]],"itemData":{"id":3961,"type":"book","edition":"4. ed","event-place":"Hoboken, NJ","ISBN":"978-0-470-39818-0","language":"en","note":"OCLC: 318408191","number-of-pages":"370","publisher":"John Wiley &amp; Sons, Inc., Hoboken, New Jersey","publisher-place":"Hoboken, NJ","source":"Gemeinsamer Bibliotheksverbund ISBN","title":"Biomechanics and motor control of human movement","author":[{"family":"Winter","given":"David A."}],"issued":{"date-parts":[["2009"]]}}}],"schema":"https://github.com/citation-style-language/schema/raw/master/csl-citation.json"}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szCs w:val="22"/>
        </w:rPr>
        <w:t>(Winter,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w:t>
      </w:r>
      <w:r w:rsidRPr="009C1AD8">
        <w:rPr>
          <w:rFonts w:ascii="Cambria" w:hAnsi="Cambria"/>
          <w:sz w:val="22"/>
          <w:szCs w:val="22"/>
          <w:lang w:val="en-GB"/>
        </w:rPr>
        <w:t xml:space="preserve"> Once recorded, the data can go through a process of data reduction using algorithms, producing software-derived data </w:t>
      </w:r>
      <w:r w:rsidRPr="009C1AD8">
        <w:rPr>
          <w:rFonts w:ascii="Cambria" w:hAnsi="Cambria"/>
          <w:sz w:val="22"/>
          <w:szCs w:val="22"/>
          <w:lang w:val="en-GB"/>
        </w:rPr>
        <w:fldChar w:fldCharType="begin"/>
      </w:r>
      <w:r w:rsidRPr="009C1AD8">
        <w:rPr>
          <w:rFonts w:ascii="Cambria" w:hAnsi="Cambria"/>
          <w:sz w:val="22"/>
          <w:szCs w:val="22"/>
          <w:lang w:val="en-GB"/>
        </w:rPr>
        <w:instrText xml:space="preserve"> ADDIN ZOTERO_ITEM CSL_CITATION {"citationID":"4ZPFJLHD","properties":{"formattedCitation":"(Malone et al., 2017)","plainCitation":"(Malone et al., 2017)","noteIndex":0},"citationItems":[{"id":3720,"uris":["http://zotero.org/groups/2252673/items/XJ79RVP9",["http://zotero.org/groups/2252673/items/XJ79RVP9"]],"itemData":{"id":3720,"type":"article-journal","abstract":"Athlete-tracking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J."}],"issued":{"date-parts":[["2017",4]]}}}],"schema":"https://github.com/citation-style-language/schema/raw/master/csl-citation.json"} </w:instrText>
      </w:r>
      <w:r w:rsidRPr="009C1AD8">
        <w:rPr>
          <w:rFonts w:ascii="Cambria" w:hAnsi="Cambria"/>
          <w:sz w:val="22"/>
          <w:szCs w:val="22"/>
          <w:lang w:val="en-GB"/>
        </w:rPr>
        <w:fldChar w:fldCharType="separate"/>
      </w:r>
      <w:r w:rsidRPr="009C1AD8">
        <w:rPr>
          <w:rFonts w:ascii="Cambria" w:hAnsi="Cambria"/>
          <w:sz w:val="22"/>
        </w:rPr>
        <w:t>(Malone et al., 2017)</w:t>
      </w:r>
      <w:r w:rsidRPr="009C1AD8">
        <w:rPr>
          <w:rFonts w:ascii="Cambria" w:hAnsi="Cambria"/>
          <w:sz w:val="22"/>
          <w:szCs w:val="22"/>
          <w:lang w:val="en-GB"/>
        </w:rPr>
        <w:fldChar w:fldCharType="end"/>
      </w:r>
      <w:r w:rsidRPr="009C1AD8">
        <w:rPr>
          <w:rFonts w:ascii="Cambria" w:hAnsi="Cambria"/>
          <w:sz w:val="22"/>
          <w:szCs w:val="22"/>
          <w:lang w:val="en-GB"/>
        </w:rPr>
        <w:t>.</w:t>
      </w:r>
    </w:p>
    <w:p w14:paraId="0FF6E4D4" w14:textId="77777777" w:rsidR="00A4168E" w:rsidRPr="009C1AD8" w:rsidRDefault="00A4168E" w:rsidP="00A4168E">
      <w:pPr>
        <w:shd w:val="clear" w:color="auto" w:fill="FFFFFF"/>
        <w:ind w:firstLine="708"/>
        <w:jc w:val="both"/>
        <w:rPr>
          <w:rFonts w:ascii="Cambria" w:hAnsi="Cambria"/>
          <w:sz w:val="22"/>
          <w:szCs w:val="22"/>
          <w:lang w:val="en-GB"/>
        </w:rPr>
      </w:pPr>
    </w:p>
    <w:p w14:paraId="0DB54693" w14:textId="77777777" w:rsidR="00A4168E" w:rsidRPr="009C1AD8" w:rsidRDefault="00A4168E" w:rsidP="00A4168E">
      <w:pPr>
        <w:shd w:val="clear" w:color="auto" w:fill="FFFFFF"/>
        <w:ind w:firstLine="708"/>
        <w:jc w:val="both"/>
        <w:rPr>
          <w:rFonts w:ascii="Cambria" w:eastAsia="Palemonas" w:hAnsi="Cambria"/>
          <w:color w:val="000000"/>
          <w:sz w:val="22"/>
          <w:szCs w:val="22"/>
          <w:lang w:val="en-GB" w:eastAsia="es-ES"/>
        </w:rPr>
      </w:pPr>
      <w:bookmarkStart w:id="12" w:name="_Hlk42723731"/>
      <w:r w:rsidRPr="009C1AD8">
        <w:rPr>
          <w:rFonts w:ascii="Cambria" w:eastAsia="Palemonas" w:hAnsi="Cambria"/>
          <w:color w:val="000000"/>
          <w:sz w:val="22"/>
          <w:szCs w:val="22"/>
          <w:lang w:val="en-GB" w:eastAsia="es-ES"/>
        </w:rPr>
        <w:t xml:space="preserve">To date, it is not clear what sampling frequency is suitable to measure collective tactical behaviour in team sports </w:t>
      </w:r>
      <w:r w:rsidRPr="009C1AD8">
        <w:rPr>
          <w:rFonts w:ascii="Cambria" w:eastAsia="Palemonas" w:hAnsi="Cambria"/>
          <w:color w:val="000000"/>
          <w:sz w:val="22"/>
          <w:szCs w:val="22"/>
          <w:lang w:val="en-GB" w:eastAsia="es-ES"/>
        </w:rPr>
        <w:fldChar w:fldCharType="begin"/>
      </w:r>
      <w:r w:rsidRPr="009C1AD8">
        <w:rPr>
          <w:rFonts w:ascii="Cambria" w:eastAsia="Palemonas" w:hAnsi="Cambria"/>
          <w:color w:val="000000"/>
          <w:sz w:val="22"/>
          <w:szCs w:val="22"/>
          <w:lang w:val="en-GB" w:eastAsia="es-ES"/>
        </w:rPr>
        <w:instrText xml:space="preserve"> ADDIN ZOTERO_ITEM CSL_CITATION {"citationID":"rUsSQmL7","properties":{"formattedCitation":"(Rico-Gonz\\uc0\\u225{}lez, Los Arcos, et al., 2020)","plainCitation":"(Rico-González, Los Arcos, et al., 2020)","noteIndex":0},"citationItems":[{"id":4521,"uris":["http://zotero.org/groups/2252673/items/AN9T2574",["http://zotero.org/groups/2252673/items/AN9T2574"]],"itemData":{"id":4521,"type":"article-journal","abstract":"The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eastAsia="Palemonas" w:hAnsi="Cambria"/>
          <w:color w:val="000000"/>
          <w:sz w:val="22"/>
          <w:szCs w:val="22"/>
          <w:lang w:val="en-GB" w:eastAsia="es-ES"/>
        </w:rPr>
        <w:fldChar w:fldCharType="separate"/>
      </w:r>
      <w:r w:rsidRPr="009C1AD8">
        <w:rPr>
          <w:rFonts w:ascii="Cambria" w:hAnsi="Cambria"/>
          <w:sz w:val="22"/>
        </w:rPr>
        <w:t>(Rico-González, Los Arcos, et al., 2020)</w:t>
      </w:r>
      <w:r w:rsidRPr="009C1AD8">
        <w:rPr>
          <w:rFonts w:ascii="Cambria" w:eastAsia="Palemonas" w:hAnsi="Cambria"/>
          <w:color w:val="000000"/>
          <w:sz w:val="22"/>
          <w:szCs w:val="22"/>
          <w:lang w:val="en-GB" w:eastAsia="es-ES"/>
        </w:rPr>
        <w:fldChar w:fldCharType="end"/>
      </w:r>
      <w:r w:rsidRPr="009C1AD8">
        <w:rPr>
          <w:rFonts w:ascii="Cambria" w:eastAsia="Palemonas" w:hAnsi="Cambria"/>
          <w:color w:val="000000"/>
          <w:sz w:val="22"/>
          <w:szCs w:val="22"/>
          <w:lang w:val="en-GB" w:eastAsia="es-ES"/>
        </w:rPr>
        <w:t xml:space="preserve">. The most commonly used sampling frequencies ranged from 0.4 to 100 Hz, from 0.4 to 50 Hz and from 1 to 30 Hz to measure the GC, the distance between two points and the area, respectively </w:t>
      </w:r>
      <w:r w:rsidRPr="009C1AD8">
        <w:rPr>
          <w:rFonts w:ascii="Cambria" w:eastAsia="Palemonas" w:hAnsi="Cambria"/>
          <w:color w:val="000000"/>
          <w:sz w:val="22"/>
          <w:szCs w:val="22"/>
          <w:lang w:val="en-GB" w:eastAsia="es-ES"/>
        </w:rPr>
        <w:fldChar w:fldCharType="begin"/>
      </w:r>
      <w:r w:rsidRPr="009C1AD8">
        <w:rPr>
          <w:rFonts w:ascii="Cambria" w:eastAsia="Palemonas" w:hAnsi="Cambria"/>
          <w:color w:val="000000"/>
          <w:sz w:val="22"/>
          <w:szCs w:val="22"/>
          <w:lang w:val="en-GB" w:eastAsia="es-ES"/>
        </w:rPr>
        <w:instrText xml:space="preserve"> ADDIN ZOTERO_ITEM CSL_CITATION {"citationID":"XZ3Nm77g","properties":{"formattedCitation":"(Rico-Gonz\\uc0\\u225{}lez, Los Arcos, et al., 2020)","plainCitation":"(Rico-González, Los Arcos, et al., 2020)","noteIndex":0},"citationItems":[{"id":4521,"uris":["http://zotero.org/groups/2252673/items/AN9T2574",["http://zotero.org/groups/2252673/items/AN9T2574"]],"itemData":{"id":4521,"type":"article-journal","abstract":"The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eastAsia="Palemonas" w:hAnsi="Cambria"/>
          <w:color w:val="000000"/>
          <w:sz w:val="22"/>
          <w:szCs w:val="22"/>
          <w:lang w:val="en-GB" w:eastAsia="es-ES"/>
        </w:rPr>
        <w:fldChar w:fldCharType="separate"/>
      </w:r>
      <w:r w:rsidRPr="009C1AD8">
        <w:rPr>
          <w:rFonts w:ascii="Cambria" w:hAnsi="Cambria"/>
          <w:sz w:val="22"/>
        </w:rPr>
        <w:t>(Rico-González, Los Arcos, et al., 2020)</w:t>
      </w:r>
      <w:r w:rsidRPr="009C1AD8">
        <w:rPr>
          <w:rFonts w:ascii="Cambria" w:eastAsia="Palemonas" w:hAnsi="Cambria"/>
          <w:color w:val="000000"/>
          <w:sz w:val="22"/>
          <w:szCs w:val="22"/>
          <w:lang w:val="en-GB" w:eastAsia="es-ES"/>
        </w:rPr>
        <w:fldChar w:fldCharType="end"/>
      </w:r>
      <w:r w:rsidRPr="009C1AD8">
        <w:rPr>
          <w:rFonts w:ascii="Cambria" w:eastAsia="Palemonas" w:hAnsi="Cambria"/>
          <w:color w:val="000000"/>
          <w:sz w:val="22"/>
          <w:szCs w:val="22"/>
          <w:lang w:val="en-GB" w:eastAsia="es-ES"/>
        </w:rPr>
        <w:t>. Since the magnitude of the tactical behaviour variables differ according to their characteristics (</w:t>
      </w:r>
      <w:proofErr w:type="gramStart"/>
      <w:r w:rsidRPr="009C1AD8">
        <w:rPr>
          <w:rFonts w:ascii="Cambria" w:eastAsia="Palemonas" w:hAnsi="Cambria"/>
          <w:color w:val="000000"/>
          <w:sz w:val="22"/>
          <w:szCs w:val="22"/>
          <w:lang w:val="en-GB" w:eastAsia="es-ES"/>
        </w:rPr>
        <w:t>i.e.</w:t>
      </w:r>
      <w:proofErr w:type="gramEnd"/>
      <w:r w:rsidRPr="009C1AD8">
        <w:rPr>
          <w:rFonts w:ascii="Cambria" w:eastAsia="Palemonas" w:hAnsi="Cambria"/>
          <w:color w:val="000000"/>
          <w:sz w:val="22"/>
          <w:szCs w:val="22"/>
          <w:lang w:val="en-GB" w:eastAsia="es-ES"/>
        </w:rPr>
        <w:t xml:space="preserve"> a single point or occupied space), we hypothesised that different sampling frequencies are needed according to the magnitude of the variable to be measured. In fact, Rico-González et al., </w:t>
      </w:r>
      <w:r w:rsidRPr="009C1AD8">
        <w:rPr>
          <w:rFonts w:ascii="Cambria" w:eastAsia="Palemonas" w:hAnsi="Cambria"/>
          <w:color w:val="000000"/>
          <w:sz w:val="22"/>
          <w:szCs w:val="22"/>
          <w:lang w:val="en-GB" w:eastAsia="es-ES"/>
        </w:rPr>
        <w:fldChar w:fldCharType="begin"/>
      </w:r>
      <w:r w:rsidRPr="009C1AD8">
        <w:rPr>
          <w:rFonts w:ascii="Cambria" w:eastAsia="Palemonas" w:hAnsi="Cambria"/>
          <w:color w:val="000000"/>
          <w:sz w:val="22"/>
          <w:szCs w:val="22"/>
          <w:lang w:val="en-GB" w:eastAsia="es-ES"/>
        </w:rPr>
        <w:instrText xml:space="preserve"> ADDIN ZOTERO_ITEM CSL_CITATION {"citationID":"TbXdelcG","properties":{"formattedCitation":"(Rico-Gonz\\uc0\\u225{}lez, Arcos, et\\uc0\\u160{}al., 2020)","plainCitation":"(Rico-González, Arcos, et al., 2020)","dontUpdate":true,"noteIndex":0},"citationItems":[{"id":4344,"uris":["http://zotero.org/groups/2252673/items/99K66XHG",["http://zotero.org/groups/2252673/items/99K66XHG"]],"itemData":{"id":4344,"type":"article-journal","abstract":"Electronic performance and tracking systems (EPTS) and microelectromechanical systems (MEMS) allow the measurement of training load (TL) and collective behavior in team sports so that match performance can be optimized. Despite the frequent use of radio-frequency (RF) technology (i.e., global positioning navigation systems (GNSS/global positioning systems (GPS)) and, local position systems (LPS)) and MEMS in sports research, there is no protocol that must be followed, nor are there any set guidelines for evaluating the quality of the data collection process in studies. Thus, this study aims to suggest a survey based on previously used protocols to evaluate the quality of data recorded by RF technology and MEMS in team sports. A quality check sheet was proposed considering 13 general criteria items. Four additional items for GNSS/GPS, eight additional items for LPS, and ﬁve items for MEMS were suggested. This information for evaluating the quality of the data collection process should be reported in the methods sections of future studies.","container-title":"Sensors","language":"en","page":"16","source":"Zotero","title":"A Survey to Assess the Quality of the Data Obtained by Radio-Frequency Technologies and Microelectromechanical Systems to Measure External Workload and Collective Behavior Variables in Team Sports","author":[{"family":"Rico-González","given":"Markel"},{"family":"Arcos","given":"Asier Los"},{"family":"Rojas-Valverde","given":"Daniel"},{"family":"Clemente","given":"Filipe M"},{"family":"Pino-Ortega","given":"José"}],"issued":{"date-parts":[["2020"]]}}}],"schema":"https://github.com/citation-style-language/schema/raw/master/csl-citation.json"} </w:instrText>
      </w:r>
      <w:r w:rsidRPr="009C1AD8">
        <w:rPr>
          <w:rFonts w:ascii="Cambria" w:eastAsia="Palemonas" w:hAnsi="Cambria"/>
          <w:color w:val="000000"/>
          <w:sz w:val="22"/>
          <w:szCs w:val="22"/>
          <w:lang w:val="en-GB" w:eastAsia="es-ES"/>
        </w:rPr>
        <w:fldChar w:fldCharType="separate"/>
      </w:r>
      <w:r w:rsidRPr="009C1AD8">
        <w:rPr>
          <w:rFonts w:ascii="Cambria" w:hAnsi="Cambria"/>
          <w:color w:val="000000"/>
          <w:sz w:val="22"/>
          <w:szCs w:val="22"/>
        </w:rPr>
        <w:t>(2020)</w:t>
      </w:r>
      <w:r w:rsidRPr="009C1AD8">
        <w:rPr>
          <w:rFonts w:ascii="Cambria" w:eastAsia="Palemonas" w:hAnsi="Cambria"/>
          <w:color w:val="000000"/>
          <w:sz w:val="22"/>
          <w:szCs w:val="22"/>
          <w:lang w:val="en-GB" w:eastAsia="es-ES"/>
        </w:rPr>
        <w:fldChar w:fldCharType="end"/>
      </w:r>
      <w:r w:rsidRPr="009C1AD8">
        <w:rPr>
          <w:rFonts w:ascii="Cambria" w:eastAsia="Palemonas" w:hAnsi="Cambria"/>
          <w:color w:val="000000"/>
          <w:sz w:val="22"/>
          <w:szCs w:val="22"/>
          <w:lang w:val="en-GB" w:eastAsia="es-ES"/>
        </w:rPr>
        <w:t xml:space="preserve"> proposed a set of standard items to assess the quality of the methodology, and one of these criteria suggested the use of different sampling rates for each variable. </w:t>
      </w:r>
      <w:commentRangeStart w:id="13"/>
      <w:r w:rsidRPr="009C1AD8">
        <w:rPr>
          <w:rFonts w:ascii="Cambria" w:eastAsia="Palemonas" w:hAnsi="Cambria"/>
          <w:color w:val="000000"/>
          <w:sz w:val="22"/>
          <w:szCs w:val="22"/>
          <w:lang w:val="en-GB" w:eastAsia="es-ES"/>
        </w:rPr>
        <w:t xml:space="preserve">However, to our knowledge, no study has assessed the impact of the sampling frequency on the outcomes of tactical behaviour variables during </w:t>
      </w:r>
      <w:commentRangeEnd w:id="13"/>
      <w:r w:rsidR="00B325C8">
        <w:rPr>
          <w:rStyle w:val="CommentReference"/>
        </w:rPr>
        <w:lastRenderedPageBreak/>
        <w:commentReference w:id="13"/>
      </w:r>
      <w:r w:rsidRPr="009C1AD8">
        <w:rPr>
          <w:rFonts w:ascii="Cambria" w:hAnsi="Cambria"/>
          <w:color w:val="000000"/>
          <w:sz w:val="22"/>
          <w:szCs w:val="22"/>
          <w:lang w:val="en-GB"/>
        </w:rPr>
        <w:t>controlled tasks</w:t>
      </w:r>
      <w:r w:rsidRPr="009C1AD8">
        <w:rPr>
          <w:rFonts w:ascii="Cambria" w:eastAsia="Palemonas" w:hAnsi="Cambria"/>
          <w:color w:val="000000"/>
          <w:sz w:val="22"/>
          <w:szCs w:val="22"/>
          <w:lang w:val="en-GB" w:eastAsia="es-ES"/>
        </w:rPr>
        <w:t xml:space="preserve">. </w:t>
      </w:r>
      <w:commentRangeStart w:id="14"/>
      <w:r w:rsidRPr="009C1AD8">
        <w:rPr>
          <w:rFonts w:ascii="Cambria" w:hAnsi="Cambria"/>
          <w:color w:val="000000"/>
          <w:sz w:val="22"/>
          <w:szCs w:val="22"/>
          <w:lang w:val="en-GB"/>
        </w:rPr>
        <w:t>Therefore, the aim of the study was to assess the impact of the sampling frequency on the measurement of collective tactical behaviour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CCP and the TA).</w:t>
      </w:r>
      <w:commentRangeEnd w:id="14"/>
      <w:r w:rsidR="00B325C8">
        <w:rPr>
          <w:rStyle w:val="CommentReference"/>
        </w:rPr>
        <w:commentReference w:id="14"/>
      </w:r>
    </w:p>
    <w:bookmarkEnd w:id="12"/>
    <w:p w14:paraId="7E6139A9" w14:textId="77777777" w:rsidR="00A4168E" w:rsidRPr="009C1AD8" w:rsidRDefault="00A4168E">
      <w:pPr>
        <w:jc w:val="both"/>
        <w:rPr>
          <w:rFonts w:ascii="Cambria" w:eastAsia="Cambria" w:hAnsi="Cambria" w:cs="Cambria"/>
          <w:color w:val="000000"/>
          <w:sz w:val="22"/>
          <w:szCs w:val="22"/>
          <w:lang w:val="en-GB"/>
        </w:rPr>
      </w:pPr>
    </w:p>
    <w:p w14:paraId="72EDF470" w14:textId="77777777" w:rsidR="00BD3F0E" w:rsidRPr="009C1AD8" w:rsidRDefault="00A4168E">
      <w:pPr>
        <w:spacing w:after="120"/>
        <w:jc w:val="center"/>
        <w:rPr>
          <w:rFonts w:ascii="Cambria" w:eastAsia="Cambria" w:hAnsi="Cambria" w:cs="Cambria"/>
          <w:b/>
          <w:color w:val="000000"/>
          <w:sz w:val="22"/>
          <w:szCs w:val="22"/>
        </w:rPr>
      </w:pPr>
      <w:r w:rsidRPr="009C1AD8">
        <w:rPr>
          <w:rFonts w:ascii="Cambria" w:eastAsia="Cambria" w:hAnsi="Cambria" w:cs="Cambria"/>
          <w:b/>
          <w:color w:val="000000"/>
          <w:sz w:val="22"/>
          <w:szCs w:val="22"/>
        </w:rPr>
        <w:t>METHOD</w:t>
      </w:r>
    </w:p>
    <w:p w14:paraId="2DC76A32" w14:textId="77777777" w:rsidR="00BD3F0E" w:rsidRPr="009C1AD8" w:rsidRDefault="00BD3F0E">
      <w:pPr>
        <w:spacing w:after="120"/>
        <w:jc w:val="center"/>
        <w:rPr>
          <w:rFonts w:ascii="Cambria" w:eastAsia="Cambria" w:hAnsi="Cambria" w:cs="Cambria"/>
          <w:b/>
          <w:color w:val="000000"/>
          <w:sz w:val="22"/>
          <w:szCs w:val="22"/>
        </w:rPr>
      </w:pPr>
    </w:p>
    <w:p w14:paraId="5641BD3B" w14:textId="77777777" w:rsidR="00A4168E" w:rsidRPr="009C1AD8" w:rsidRDefault="00A4168E" w:rsidP="00A4168E">
      <w:pPr>
        <w:jc w:val="both"/>
        <w:rPr>
          <w:rFonts w:ascii="Cambria" w:hAnsi="Cambria"/>
          <w:i/>
          <w:iCs/>
          <w:color w:val="000000"/>
          <w:sz w:val="22"/>
          <w:szCs w:val="22"/>
          <w:lang w:val="en-GB"/>
        </w:rPr>
      </w:pPr>
      <w:commentRangeStart w:id="15"/>
      <w:r w:rsidRPr="009C1AD8">
        <w:rPr>
          <w:rFonts w:ascii="Cambria" w:hAnsi="Cambria"/>
          <w:i/>
          <w:iCs/>
          <w:color w:val="000000"/>
          <w:sz w:val="22"/>
          <w:szCs w:val="22"/>
          <w:lang w:val="en-GB"/>
        </w:rPr>
        <w:t>Participants</w:t>
      </w:r>
      <w:commentRangeEnd w:id="15"/>
      <w:r w:rsidR="00CB467C">
        <w:rPr>
          <w:rStyle w:val="CommentReference"/>
        </w:rPr>
        <w:commentReference w:id="15"/>
      </w:r>
    </w:p>
    <w:p w14:paraId="33055BB3" w14:textId="77777777" w:rsidR="00A4168E" w:rsidRPr="009C1AD8" w:rsidRDefault="00A4168E" w:rsidP="00A4168E">
      <w:pPr>
        <w:ind w:firstLine="708"/>
        <w:jc w:val="both"/>
        <w:rPr>
          <w:rFonts w:ascii="Cambria" w:hAnsi="Cambria"/>
          <w:color w:val="000000"/>
          <w:sz w:val="22"/>
          <w:szCs w:val="22"/>
          <w:lang w:val="en-GB" w:eastAsia="es-ES"/>
        </w:rPr>
      </w:pPr>
      <w:r w:rsidRPr="009C1AD8">
        <w:rPr>
          <w:rFonts w:ascii="Cambria" w:hAnsi="Cambria"/>
          <w:color w:val="000000"/>
          <w:sz w:val="22"/>
          <w:szCs w:val="22"/>
          <w:lang w:val="en-GB"/>
        </w:rPr>
        <w:t>Data was collected from sixteen young male soccer players (under 16 years) (age</w:t>
      </w:r>
      <w:r w:rsidRPr="009C1AD8">
        <w:rPr>
          <w:rFonts w:ascii="Cambria" w:hAnsi="Cambria"/>
          <w:color w:val="000000"/>
          <w:sz w:val="22"/>
          <w:szCs w:val="22"/>
        </w:rPr>
        <w:t xml:space="preserve"> 15.6 ± 0.8, </w:t>
      </w:r>
      <w:r w:rsidRPr="009C1AD8">
        <w:rPr>
          <w:rFonts w:ascii="Cambria" w:hAnsi="Cambria"/>
          <w:color w:val="000000"/>
          <w:sz w:val="22"/>
          <w:szCs w:val="22"/>
          <w:lang w:val="en-GB"/>
        </w:rPr>
        <w:t xml:space="preserve">height 1.70 ± 0.1 cm, weight 65.6 ± 10.2 kg) who belonged to the Torre Pacheco Soccer School (Spain). These players also participated in the cadet category of the Autonomous League of the region of Murcia during the 2018-2019 season. The team’s staff gave their consent for their participation in this study. A written consent was signed by their legal guardians and players gave their assent to participate. </w:t>
      </w:r>
      <w:r w:rsidRPr="009C1AD8">
        <w:rPr>
          <w:rFonts w:ascii="Cambria" w:hAnsi="Cambria"/>
          <w:color w:val="000000"/>
          <w:sz w:val="22"/>
          <w:szCs w:val="22"/>
          <w:lang w:val="en-GB" w:eastAsia="es-ES"/>
        </w:rPr>
        <w:t xml:space="preserve">The study, which was conducted according to the Declaration of Helsinki (2013), was approved by the Bioethics Commission of the University (Reg. Code 67/2017). </w:t>
      </w:r>
    </w:p>
    <w:p w14:paraId="6F9B9EA4" w14:textId="77777777" w:rsidR="00A4168E" w:rsidRPr="009C1AD8" w:rsidRDefault="00A4168E" w:rsidP="00A4168E">
      <w:pPr>
        <w:jc w:val="both"/>
        <w:rPr>
          <w:rFonts w:ascii="Cambria" w:hAnsi="Cambria"/>
          <w:i/>
          <w:iCs/>
          <w:color w:val="000000"/>
          <w:sz w:val="22"/>
          <w:szCs w:val="22"/>
          <w:lang w:val="en-GB"/>
        </w:rPr>
      </w:pPr>
    </w:p>
    <w:p w14:paraId="4021F7C2" w14:textId="77777777" w:rsidR="00A4168E" w:rsidRPr="009C1AD8" w:rsidRDefault="00A4168E" w:rsidP="00A4168E">
      <w:pPr>
        <w:jc w:val="both"/>
        <w:rPr>
          <w:rFonts w:ascii="Cambria" w:hAnsi="Cambria"/>
          <w:i/>
          <w:iCs/>
          <w:color w:val="000000"/>
          <w:sz w:val="22"/>
          <w:szCs w:val="22"/>
          <w:lang w:val="en-GB"/>
        </w:rPr>
      </w:pPr>
      <w:r w:rsidRPr="009C1AD8">
        <w:rPr>
          <w:rFonts w:ascii="Cambria" w:hAnsi="Cambria"/>
          <w:i/>
          <w:iCs/>
          <w:color w:val="000000"/>
          <w:sz w:val="22"/>
          <w:szCs w:val="22"/>
          <w:lang w:val="en-GB"/>
        </w:rPr>
        <w:t>Procedure</w:t>
      </w:r>
    </w:p>
    <w:p w14:paraId="722AA2D1" w14:textId="77777777" w:rsidR="00A4168E" w:rsidRPr="009C1AD8" w:rsidRDefault="00A4168E" w:rsidP="00A4168E">
      <w:pPr>
        <w:ind w:firstLine="708"/>
        <w:jc w:val="both"/>
        <w:rPr>
          <w:rFonts w:ascii="Cambria" w:hAnsi="Cambria"/>
          <w:sz w:val="22"/>
          <w:szCs w:val="22"/>
          <w:lang w:val="en-GB"/>
        </w:rPr>
      </w:pPr>
      <w:r w:rsidRPr="009C1AD8">
        <w:rPr>
          <w:rFonts w:ascii="Cambria" w:hAnsi="Cambria"/>
          <w:color w:val="000000"/>
          <w:sz w:val="22"/>
          <w:szCs w:val="22"/>
          <w:lang w:val="en-GB"/>
        </w:rPr>
        <w:t>Two teams</w:t>
      </w:r>
      <w:r w:rsidRPr="009C1AD8">
        <w:rPr>
          <w:rFonts w:ascii="Cambria" w:hAnsi="Cambria"/>
          <w:sz w:val="22"/>
          <w:szCs w:val="22"/>
          <w:lang w:val="en-GB"/>
        </w:rPr>
        <w:t xml:space="preserve"> of eight players participated in the exercises on a field of 30x40 meters </w:t>
      </w:r>
      <w:r w:rsidRPr="009C1AD8">
        <w:rPr>
          <w:rFonts w:ascii="Cambria" w:hAnsi="Cambria"/>
          <w:sz w:val="22"/>
          <w:szCs w:val="22"/>
          <w:lang w:val="en-GB"/>
        </w:rPr>
        <w:fldChar w:fldCharType="begin"/>
      </w:r>
      <w:r w:rsidRPr="009C1AD8">
        <w:rPr>
          <w:rFonts w:ascii="Cambria" w:hAnsi="Cambria"/>
          <w:sz w:val="22"/>
          <w:szCs w:val="22"/>
          <w:lang w:val="en-GB"/>
        </w:rPr>
        <w:instrText xml:space="preserve"> ADDIN ZOTERO_ITEM CSL_CITATION {"citationID":"Q80Osb6p","properties":{"formattedCitation":"(Coutinho et al., 2018)","plainCitation":"(Coutinho et al., 2018)","noteIndex":0},"citationItems":[{"id":3973,"uris":["http://zotero.org/groups/2252673/items/RD5S7NVN",["http://zotero.org/groups/2252673/items/RD5S7NVN"]],"itemData":{"id":3973,"type":"article-journal","abstract":"The aim of this study was to identify the effects of adding spatial references during football small-sided games in youth players’ tactical and physical performance. Twelve under-15 players performed a Gk + 6v6+ Gk game under two playing conditions: (i) without spatial references (CONTROL condition); (ii) with spatial references, by dividing equally the pitch into three corridors and three sectors (experimental situation, LINES). Players’ positional data was used to compute time-motion and tactical-related variables. The results revealed that performance under LINES situation increased the regularity in the zones occupied (~14%, Cohen’s d: 0.5; ±0.3; p = 0.003) and in the distance between teammates’ dyads (~19%, 0.9; ±0.2; p &lt; 0.001). Oppositely, LINES condition decreased the longitudinal synchronization of players’ displacements (0.4; ±0.2; p = 0.002), players’ average speed (0.5; ±0.3; p = 0.002) and distance covered at lower (0.9; ±0.3; p &lt; 0.001) and moderate speed (0.5; ±0.3; p &lt; 0.001). Adding spatial references seems to promote a more structured pattern of play and increase positional regularity. However, coaches should be aware that this constraint may decrease the synchronization between players. Overall, these findings may be generalized to most invasion team sports.","container-title":"Journal of Sports Sciences","DOI":"10.1080/02640414.2018.1523671","ISSN":"0264-0414, 1466-447X","language":"en","page":"1-7","source":"Crossref","title":"Effects of pitch spatial references on players’ positioning and physical performances during football small-sided games","author":[{"family":"Coutinho","given":"Diogo"},{"family":"Gonçalves","given":"Bruno"},{"family":"Travassos","given":"Bruno"},{"family":"Abade","given":"Eduardo"},{"family":"Wong","given":"Del P."},{"family":"Sampaio","given":"Jaime"}],"issued":{"date-parts":[["2018",10,11]]}}}],"schema":"https://github.com/citation-style-language/schema/raw/master/csl-citation.json"} </w:instrText>
      </w:r>
      <w:r w:rsidRPr="009C1AD8">
        <w:rPr>
          <w:rFonts w:ascii="Cambria" w:hAnsi="Cambria"/>
          <w:sz w:val="22"/>
          <w:szCs w:val="22"/>
          <w:lang w:val="en-GB"/>
        </w:rPr>
        <w:fldChar w:fldCharType="separate"/>
      </w:r>
      <w:r w:rsidRPr="009C1AD8">
        <w:rPr>
          <w:rFonts w:ascii="Cambria" w:hAnsi="Cambria"/>
          <w:sz w:val="22"/>
        </w:rPr>
        <w:t>(Coutinho et al., 2018)</w:t>
      </w:r>
      <w:r w:rsidRPr="009C1AD8">
        <w:rPr>
          <w:rFonts w:ascii="Cambria" w:hAnsi="Cambria"/>
          <w:sz w:val="22"/>
          <w:szCs w:val="22"/>
          <w:lang w:val="en-GB"/>
        </w:rPr>
        <w:fldChar w:fldCharType="end"/>
      </w:r>
      <w:r w:rsidRPr="009C1AD8">
        <w:rPr>
          <w:rFonts w:ascii="Cambria" w:hAnsi="Cambria"/>
          <w:sz w:val="22"/>
          <w:szCs w:val="22"/>
          <w:lang w:val="en-GB"/>
        </w:rPr>
        <w:t xml:space="preserve">. They were asked to execute three different controlled tasks: </w:t>
      </w:r>
      <w:proofErr w:type="spellStart"/>
      <w:r w:rsidRPr="009C1AD8">
        <w:rPr>
          <w:rFonts w:ascii="Cambria" w:hAnsi="Cambria"/>
          <w:sz w:val="22"/>
          <w:szCs w:val="22"/>
          <w:lang w:val="en-GB"/>
        </w:rPr>
        <w:t>i</w:t>
      </w:r>
      <w:proofErr w:type="spellEnd"/>
      <w:r w:rsidRPr="009C1AD8">
        <w:rPr>
          <w:rFonts w:ascii="Cambria" w:hAnsi="Cambria"/>
          <w:sz w:val="22"/>
          <w:szCs w:val="22"/>
          <w:lang w:val="en-GB"/>
        </w:rPr>
        <w:t xml:space="preserve">) players walked for 1 min along the line that described the perimeter of the area arranged (see Figure 1a) ii) players walked along the perimeter line and after the coach’s signal they ran to the centre of a smaller area placed in the middle of the total area and then scattered towards the perimeter line again continuously for one minute (see Figure 1b), and iii) players walked along the perimeter line and after the coach’s signal they ran to the corners of a smaller area placed in the middle of the total area and then scattered towards the perimeter line again continuously for one minute </w:t>
      </w:r>
      <w:commentRangeStart w:id="16"/>
      <w:r w:rsidRPr="009C1AD8">
        <w:rPr>
          <w:rFonts w:ascii="Cambria" w:hAnsi="Cambria"/>
          <w:sz w:val="22"/>
          <w:szCs w:val="22"/>
          <w:lang w:val="en-GB"/>
        </w:rPr>
        <w:t>(see Figure 1c).</w:t>
      </w:r>
      <w:r w:rsidRPr="009C1AD8" w:rsidDel="00234B9A">
        <w:rPr>
          <w:rFonts w:ascii="Cambria" w:hAnsi="Cambria"/>
          <w:sz w:val="22"/>
          <w:szCs w:val="22"/>
          <w:lang w:val="en-GB"/>
        </w:rPr>
        <w:t xml:space="preserve"> </w:t>
      </w:r>
      <w:commentRangeEnd w:id="16"/>
      <w:r w:rsidR="00B325C8">
        <w:rPr>
          <w:rStyle w:val="CommentReference"/>
        </w:rPr>
        <w:commentReference w:id="16"/>
      </w:r>
    </w:p>
    <w:p w14:paraId="68B527DB" w14:textId="77777777" w:rsidR="00A4168E" w:rsidRPr="009C1AD8" w:rsidRDefault="00A4168E" w:rsidP="00A4168E">
      <w:pPr>
        <w:ind w:firstLine="708"/>
        <w:jc w:val="both"/>
        <w:rPr>
          <w:rFonts w:ascii="Cambria" w:hAnsi="Cambria"/>
          <w:sz w:val="22"/>
          <w:szCs w:val="22"/>
          <w:lang w:val="en-GB"/>
        </w:rPr>
      </w:pPr>
    </w:p>
    <w:p w14:paraId="08C6E72F" w14:textId="77777777" w:rsidR="00A4168E" w:rsidRPr="009C1AD8" w:rsidRDefault="00A4168E" w:rsidP="00A4168E">
      <w:pPr>
        <w:jc w:val="center"/>
        <w:rPr>
          <w:rFonts w:ascii="Cambria" w:hAnsi="Cambria"/>
          <w:color w:val="000000"/>
          <w:sz w:val="22"/>
          <w:szCs w:val="22"/>
          <w:lang w:eastAsia="es-ES_tradnl"/>
        </w:rPr>
      </w:pPr>
      <w:r w:rsidRPr="009C1AD8">
        <w:rPr>
          <w:rFonts w:ascii="Cambria" w:hAnsi="Cambria"/>
          <w:color w:val="000000"/>
          <w:sz w:val="22"/>
          <w:szCs w:val="22"/>
          <w:shd w:val="clear" w:color="auto" w:fill="FFFFFF"/>
          <w:lang w:eastAsia="es-ES_tradnl"/>
        </w:rPr>
        <w:t>[Insert Figure 1a, 1b and 1c. near here]</w:t>
      </w:r>
    </w:p>
    <w:p w14:paraId="519FBBC2" w14:textId="77777777" w:rsidR="00A4168E" w:rsidRPr="009C1AD8" w:rsidRDefault="00A4168E" w:rsidP="00A4168E">
      <w:pPr>
        <w:ind w:firstLine="708"/>
        <w:jc w:val="both"/>
        <w:rPr>
          <w:rFonts w:ascii="Cambria" w:hAnsi="Cambria"/>
          <w:sz w:val="22"/>
          <w:szCs w:val="22"/>
          <w:lang w:val="en-GB"/>
        </w:rPr>
      </w:pPr>
    </w:p>
    <w:p w14:paraId="77F2D877" w14:textId="77777777" w:rsidR="00A4168E" w:rsidRPr="009C1AD8" w:rsidRDefault="00A4168E" w:rsidP="00A4168E">
      <w:pPr>
        <w:ind w:firstLine="708"/>
        <w:jc w:val="both"/>
        <w:rPr>
          <w:rFonts w:ascii="Cambria" w:hAnsi="Cambria"/>
          <w:color w:val="000000"/>
          <w:sz w:val="22"/>
          <w:szCs w:val="22"/>
          <w:lang w:val="en-GB"/>
        </w:rPr>
      </w:pPr>
    </w:p>
    <w:p w14:paraId="3A674903" w14:textId="77777777" w:rsidR="00A4168E" w:rsidRPr="009C1AD8" w:rsidRDefault="00A4168E" w:rsidP="00A4168E">
      <w:pPr>
        <w:jc w:val="both"/>
        <w:rPr>
          <w:rFonts w:ascii="Cambria" w:hAnsi="Cambria"/>
          <w:i/>
          <w:iCs/>
          <w:color w:val="000000"/>
          <w:sz w:val="22"/>
          <w:szCs w:val="22"/>
          <w:lang w:val="en-GB"/>
        </w:rPr>
      </w:pPr>
      <w:r w:rsidRPr="009C1AD8">
        <w:rPr>
          <w:rFonts w:ascii="Cambria" w:hAnsi="Cambria"/>
          <w:i/>
          <w:iCs/>
          <w:color w:val="000000"/>
          <w:sz w:val="22"/>
          <w:szCs w:val="22"/>
          <w:lang w:val="en-GB"/>
        </w:rPr>
        <w:t>Data collection</w:t>
      </w:r>
    </w:p>
    <w:p w14:paraId="2768D4A1" w14:textId="77777777" w:rsidR="00A4168E" w:rsidRPr="009C1AD8" w:rsidRDefault="00A4168E" w:rsidP="00A4168E">
      <w:pPr>
        <w:ind w:firstLine="708"/>
        <w:jc w:val="both"/>
        <w:rPr>
          <w:rFonts w:ascii="Cambria" w:hAnsi="Cambria"/>
          <w:color w:val="000000"/>
          <w:sz w:val="22"/>
          <w:szCs w:val="22"/>
          <w:shd w:val="clear" w:color="auto" w:fill="FFFFFF"/>
          <w:lang w:val="es-ES" w:eastAsia="es-ES_tradnl"/>
        </w:rPr>
      </w:pPr>
      <w:r w:rsidRPr="009C1AD8">
        <w:rPr>
          <w:rFonts w:ascii="Cambria" w:hAnsi="Cambria"/>
          <w:color w:val="000000"/>
          <w:sz w:val="22"/>
          <w:szCs w:val="22"/>
        </w:rPr>
        <w:t>Positional data were collected using a commercial EPTS (</w:t>
      </w:r>
      <w:r w:rsidRPr="009C1AD8">
        <w:rPr>
          <w:rFonts w:ascii="Cambria" w:hAnsi="Cambria"/>
          <w:color w:val="000000"/>
          <w:sz w:val="22"/>
          <w:szCs w:val="22"/>
          <w:shd w:val="clear" w:color="auto" w:fill="FFFFFF"/>
          <w:lang w:eastAsia="es-ES_tradnl"/>
        </w:rPr>
        <w:t>WIMU PRO</w:t>
      </w:r>
      <w:r w:rsidRPr="009C1AD8">
        <w:rPr>
          <w:rFonts w:ascii="Cambria" w:hAnsi="Cambria"/>
          <w:color w:val="000000"/>
          <w:sz w:val="22"/>
          <w:szCs w:val="22"/>
          <w:shd w:val="clear" w:color="auto" w:fill="FFFFFF"/>
          <w:vertAlign w:val="superscript"/>
          <w:lang w:eastAsia="es-ES_tradnl"/>
        </w:rPr>
        <w:t>TM</w:t>
      </w:r>
      <w:r w:rsidRPr="009C1AD8">
        <w:rPr>
          <w:rFonts w:ascii="Cambria" w:hAnsi="Cambria"/>
          <w:color w:val="000000"/>
          <w:sz w:val="22"/>
          <w:szCs w:val="22"/>
          <w:shd w:val="clear" w:color="auto" w:fill="FFFFFF"/>
          <w:lang w:eastAsia="es-ES_tradnl"/>
        </w:rPr>
        <w:t xml:space="preserve">, </w:t>
      </w:r>
      <w:proofErr w:type="spellStart"/>
      <w:r w:rsidRPr="009C1AD8">
        <w:rPr>
          <w:rFonts w:ascii="Cambria" w:hAnsi="Cambria"/>
          <w:color w:val="000000"/>
          <w:sz w:val="22"/>
          <w:szCs w:val="22"/>
          <w:shd w:val="clear" w:color="auto" w:fill="FFFFFF"/>
          <w:lang w:eastAsia="es-ES_tradnl"/>
        </w:rPr>
        <w:t>RealTrack</w:t>
      </w:r>
      <w:proofErr w:type="spellEnd"/>
      <w:r w:rsidRPr="009C1AD8">
        <w:rPr>
          <w:rFonts w:ascii="Cambria" w:hAnsi="Cambria"/>
          <w:color w:val="000000"/>
          <w:sz w:val="22"/>
          <w:szCs w:val="22"/>
          <w:shd w:val="clear" w:color="auto" w:fill="FFFFFF"/>
          <w:lang w:eastAsia="es-ES_tradnl"/>
        </w:rPr>
        <w:t xml:space="preserve"> Systems, Almeria, Spain). </w:t>
      </w:r>
      <w:r w:rsidRPr="009C1AD8">
        <w:rPr>
          <w:rFonts w:ascii="Cambria" w:hAnsi="Cambria"/>
          <w:color w:val="000000"/>
          <w:sz w:val="22"/>
          <w:szCs w:val="22"/>
          <w:shd w:val="clear" w:color="auto" w:fill="FFFFFF"/>
          <w:lang w:val="en-GB" w:eastAsia="es-ES_tradnl"/>
        </w:rPr>
        <w:t xml:space="preserve">Each device contains a 10 Hz GPS and an 18 Hz UWB (Ultra-wideband), as well as other sensors (three 3-axis gyroscopes, a 3-axis magnetometer, four 3-axis accelerometers, etc.). For data collection </w:t>
      </w:r>
      <w:r w:rsidRPr="009C1AD8">
        <w:rPr>
          <w:rFonts w:ascii="Cambria" w:hAnsi="Cambria"/>
          <w:color w:val="000000"/>
          <w:sz w:val="22"/>
          <w:szCs w:val="22"/>
          <w:lang w:val="en-GB"/>
        </w:rPr>
        <w:t>TA (m</w:t>
      </w:r>
      <w:r w:rsidRPr="009C1AD8">
        <w:rPr>
          <w:rFonts w:ascii="Cambria" w:hAnsi="Cambria"/>
          <w:color w:val="000000"/>
          <w:sz w:val="22"/>
          <w:szCs w:val="22"/>
          <w:vertAlign w:val="superscript"/>
          <w:lang w:val="en-GB"/>
        </w:rPr>
        <w:t>2</w:t>
      </w:r>
      <w:r w:rsidRPr="009C1AD8">
        <w:rPr>
          <w:rFonts w:ascii="Cambria" w:hAnsi="Cambria"/>
          <w:color w:val="000000"/>
          <w:sz w:val="22"/>
          <w:szCs w:val="22"/>
          <w:lang w:val="en-GB"/>
        </w:rPr>
        <w:t>) and CCP (m) were measured at 18 Hz</w:t>
      </w:r>
      <w:r w:rsidRPr="009C1AD8">
        <w:rPr>
          <w:rFonts w:ascii="Cambria" w:hAnsi="Cambria"/>
          <w:color w:val="000000"/>
          <w:sz w:val="22"/>
          <w:szCs w:val="22"/>
          <w:shd w:val="clear" w:color="auto" w:fill="FFFFFF"/>
          <w:lang w:val="en-GB" w:eastAsia="es-ES_tradnl"/>
        </w:rPr>
        <w:t xml:space="preserve"> for raw data by radio </w:t>
      </w:r>
      <w:r w:rsidRPr="009C1AD8">
        <w:rPr>
          <w:rFonts w:ascii="Cambria" w:hAnsi="Cambria"/>
          <w:color w:val="000000"/>
          <w:sz w:val="22"/>
          <w:szCs w:val="22"/>
          <w:lang w:val="en-GB"/>
        </w:rPr>
        <w:t xml:space="preserve">ultra-wide band (UWB) sensor. The UWB system is composed of two sub-systems: (1) the reference system and, (2) the devices tracked (carried by the players). The first is composed of six antennae that are transmitters and receivers of the radio-frequency signals. The antennae (mainly the master antenna) computerize the position of the devices that are in the play area, while the devices receive that calculation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{"citationID":"jKvH8tFR","properties":{"formattedCitation":"(Bastida-Castillo, G\\uc0\\u243{}mez-Carmona, De la Cruz-S\\uc0\\u225{}nchez, et al., 2019)","plainCitation":"(Bastida-Castillo, Gómez-Carmona, De la Cruz-Sánchez, et al., 2019)","noteIndex":0},"citationItems":[{"id":3957,"uris":["http://zotero.org/groups/2252673/items/5P4T6I4K",["http://zotero.org/groups/2252673/items/5P4T6I4K"]],"itemData":{"id":3957,"type":"article-journal","abstract":"The purpose of this study was to assess the accuracy of positional data and the inter-unit reliability of an ultra-wide-band (UWB) tracking system. Four well-trained males performed ﬁve courses designed for the analysis of x- and y-coordinate accuracy analysis, speciﬁcally related to the positional distance variation between the UWB data and the ﬁxed reference lines of a basketball court. This was achieved using geographic information system (GIS) mapping software that calculated, for each interval and participant, the distance from the main axis of dis</w:instrText>
      </w:r>
      <w:r w:rsidRPr="009C1AD8">
        <w:rPr>
          <w:rFonts w:ascii="Cambria" w:hAnsi="Cambria"/>
          <w:color w:val="000000"/>
          <w:sz w:val="22"/>
          <w:szCs w:val="22"/>
          <w:lang w:val="es-ES"/>
        </w:rPr>
        <w:instrText>placement and from the opposite side of the court each 0.5 s (x and y coordinate). The accuracy of the results was satisfactory, with a mean absolute error of all estimations for the x-position of 5.2 ± 3.1 cm and for the y-position of 5.8 ± 2.3 cm. Regarding inter-unit reliability, the intra-class correlation coef</w:instrText>
      </w:r>
      <w:r w:rsidRPr="009C1AD8">
        <w:rPr>
          <w:rFonts w:ascii="Cambria" w:hAnsi="Cambria"/>
          <w:color w:val="000000"/>
          <w:sz w:val="22"/>
          <w:szCs w:val="22"/>
          <w:lang w:val="en-GB"/>
        </w:rPr>
        <w:instrText>ﬁ</w:instrText>
      </w:r>
      <w:r w:rsidRPr="009C1AD8">
        <w:rPr>
          <w:rFonts w:ascii="Cambria" w:hAnsi="Cambria"/>
          <w:color w:val="000000"/>
          <w:sz w:val="22"/>
          <w:szCs w:val="22"/>
          <w:lang w:val="es-ES"/>
        </w:rPr>
        <w:instrText xml:space="preserve">cient (ICC) value was high for the x-coordinate (0.65) and very high for the y-coordinate (0.85). The main </w:instrText>
      </w:r>
      <w:r w:rsidRPr="009C1AD8">
        <w:rPr>
          <w:rFonts w:ascii="Cambria" w:hAnsi="Cambria"/>
          <w:color w:val="000000"/>
          <w:sz w:val="22"/>
          <w:szCs w:val="22"/>
          <w:lang w:val="en-GB"/>
        </w:rPr>
        <w:instrText>ﬁ</w:instrText>
      </w:r>
      <w:r w:rsidRPr="009C1AD8">
        <w:rPr>
          <w:rFonts w:ascii="Cambria" w:hAnsi="Cambria"/>
          <w:color w:val="000000"/>
          <w:sz w:val="22"/>
          <w:szCs w:val="22"/>
          <w:lang w:val="es-ES"/>
        </w:rPr>
        <w:instrText>ndings of the study were: (i) The accuracy of UWB tracking systems can be considered suitable for practical applications in sport analyses; (ii) position estimations are very precise and acceptable for tactical analyses; (iii) the error of the position estimations does not change signi</w:instrText>
      </w:r>
      <w:r w:rsidRPr="009C1AD8">
        <w:rPr>
          <w:rFonts w:ascii="Cambria" w:hAnsi="Cambria"/>
          <w:color w:val="000000"/>
          <w:sz w:val="22"/>
          <w:szCs w:val="22"/>
          <w:lang w:val="en-GB"/>
        </w:rPr>
        <w:instrText>ﬁ</w:instrText>
      </w:r>
      <w:r w:rsidRPr="009C1AD8">
        <w:rPr>
          <w:rFonts w:ascii="Cambria" w:hAnsi="Cambria"/>
          <w:color w:val="000000"/>
          <w:sz w:val="22"/>
          <w:szCs w:val="22"/>
          <w:lang w:val="es-ES"/>
        </w:rPr>
        <w:instrText>cantly across different courses; and (iv) the use of different devices does not signi</w:instrText>
      </w:r>
      <w:r w:rsidRPr="009C1AD8">
        <w:rPr>
          <w:rFonts w:ascii="Cambria" w:hAnsi="Cambria"/>
          <w:color w:val="000000"/>
          <w:sz w:val="22"/>
          <w:szCs w:val="22"/>
          <w:lang w:val="en-GB"/>
        </w:rPr>
        <w:instrText>ﬁ</w:instrText>
      </w:r>
      <w:r w:rsidRPr="009C1AD8">
        <w:rPr>
          <w:rFonts w:ascii="Cambria" w:hAnsi="Cambria"/>
          <w:color w:val="000000"/>
          <w:sz w:val="22"/>
          <w:szCs w:val="22"/>
          <w:lang w:val="es-ES"/>
        </w:rPr>
        <w:instrText xml:space="preserve">cantly affect the measurement error.","container-title":"Applied Sciences","DOI":"10.3390/app9050939","ISSN":"2076-3417","issue":"5","language":"en","page":"939","source":"Crossref","title":"Accuracy and Inter-Unit Reliability of Ultra-Wide-Band Tracking System in Indoor Exercise","volume":"9","author":[{"family":"Bastida-Castillo","given":"Alejandro"},{"family":"Gómez-Carmona","given":"Carlos"},{"family":"De la Cruz-Sánchez","given":"Ernesto"},{"family":"Reche-Royo","given":"Xavier"},{"family":"Ibáñez","given":"Sergio"},{"family":"Pino Ortega","given":"José"}],"issued":{"date-parts":[["2019",3,6]]}}}],"schema":"https://github.com/citation-style-language/schema/raw/master/csl-citation.json"}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lang w:val="es-ES"/>
        </w:rPr>
        <w:t>(Bastida-Castillo, Gómez-Carmona, De la Cruz-Sánchez, et al., 2019)</w:t>
      </w:r>
      <w:r w:rsidRPr="009C1AD8">
        <w:rPr>
          <w:rFonts w:ascii="Cambria" w:hAnsi="Cambria"/>
          <w:color w:val="000000"/>
          <w:sz w:val="22"/>
          <w:szCs w:val="22"/>
          <w:lang w:val="en-GB"/>
        </w:rPr>
        <w:fldChar w:fldCharType="end"/>
      </w:r>
      <w:r w:rsidRPr="009C1AD8">
        <w:rPr>
          <w:rFonts w:ascii="Cambria" w:hAnsi="Cambria"/>
          <w:color w:val="000000"/>
          <w:sz w:val="22"/>
          <w:szCs w:val="22"/>
          <w:lang w:val="es-ES"/>
        </w:rPr>
        <w:t>.</w:t>
      </w:r>
      <w:r w:rsidRPr="009C1AD8">
        <w:rPr>
          <w:rFonts w:ascii="Cambria" w:hAnsi="Cambria"/>
          <w:color w:val="000000"/>
          <w:sz w:val="22"/>
          <w:szCs w:val="22"/>
          <w:lang w:val="es-ES" w:eastAsia="es-ES_tradnl"/>
        </w:rPr>
        <w:t xml:space="preserve"> </w:t>
      </w:r>
      <w:r w:rsidRPr="009C1AD8">
        <w:rPr>
          <w:rFonts w:ascii="Cambria" w:hAnsi="Cambria"/>
          <w:color w:val="000000"/>
          <w:sz w:val="22"/>
          <w:szCs w:val="22"/>
          <w:lang w:eastAsia="es-ES_tradnl"/>
        </w:rPr>
        <w:t xml:space="preserve">The TDOA algorithm was used to estimate positioning. </w:t>
      </w:r>
      <w:r w:rsidRPr="009C1AD8">
        <w:rPr>
          <w:rFonts w:ascii="Cambria" w:hAnsi="Cambria"/>
          <w:color w:val="000000"/>
          <w:sz w:val="22"/>
          <w:szCs w:val="22"/>
          <w:lang w:val="en-GB" w:eastAsia="es-ES_tradnl"/>
        </w:rPr>
        <w:t xml:space="preserve">The UWB occupies a very large frequency band (i.e. at least 0.5 GHz), as opposed to more traditional radio communications that operate on much smaller frequency bands </w:t>
      </w:r>
      <w:r w:rsidRPr="009C1AD8">
        <w:rPr>
          <w:rFonts w:ascii="Cambria" w:hAnsi="Cambria"/>
          <w:color w:val="000000"/>
          <w:sz w:val="22"/>
          <w:szCs w:val="22"/>
          <w:lang w:val="en-GB" w:eastAsia="es-ES_tradnl"/>
        </w:rPr>
        <w:fldChar w:fldCharType="begin"/>
      </w:r>
      <w:r w:rsidRPr="009C1AD8">
        <w:rPr>
          <w:rFonts w:ascii="Cambria" w:hAnsi="Cambria"/>
          <w:color w:val="000000"/>
          <w:sz w:val="22"/>
          <w:szCs w:val="22"/>
          <w:lang w:val="en-GB" w:eastAsia="es-ES_tradnl"/>
        </w:rPr>
        <w:instrText xml:space="preserve"> ADDIN ZOTERO_ITEM CSL_CITATION {"citationID":"a281uc5im4o","properties":{"formattedCitation":"(Alarifi et al., 2016)","plainCitation":"(Alarifi et al., 2016)","noteIndex":0},"citationItems":[{"id":3856,"uris":["http://zotero.org/groups/2252673/items/AH6QGAE6",["http://zotero.org/groups/2252673/items/AH6QGAE6"]],"itemData":{"id":3856,"type":"article-journal","abstract":"In recent years, indoor positioning has emerged as a critical function in many end-user applications; including military, civilian, disaster relief and peacekeeping missions. In comparison with outdoor environments, sensing location information in indoor environments requires a higher precision and is a more challenging task in part because various objects reﬂect and disperse signals. Ultra WideBand (UWB) is an emerging technology in the ﬁeld of indoor positioning that has shown better performance compared to others. In order to set the stage for this work, we provide a survey of the state-of-the-art technologies in indoor positioning, followed by a detailed comparative analysis of UWB positioning technologies. We also provide an analysis of strengths, weaknesses, opportunities, and threats (SWOT) to analyze the present state of UWB positioning technologies. While SWOT is not a quantitative approach, it helps in assessing the real status and in revealing the potential of UWB positioning to effectively address the indoor positioning problem. Unlike previous studies, this paper presents new taxonomies, reviews some major recent advances, and argues for further exploration by the research community of this challenging problem space.","container-title":"Sensors","DOI":"10.3390/s16050707","ISSN":"1424-8220","issue":"5","language":"en","page":"707","source":"Crossref","title":"Ultra Wideband Indoor Positioning Technologies: Analysis and Recent Advances","title-short":"Ultra Wideband Indoor Positioning Technologies","volume":"16","author":[{"family":"Alarifi","given":"Abdulrahman"},{"family":"Al-Salman","given":"AbdulMalik"},{"family":"Alsaleh","given":"Mansour"},{"family":"Alnafessah","given":"Ahmad"},{"family":"Al-Hadhrami","given":"Suheer"},{"family":"Al-Ammar","given":"Mai"},{"family":"Al-Khalifa","given":"Hend"}],"issued":{"date-parts":[["2016",5,16]]}}}],"schema":"https://github.com/citation-style-language/schema/raw/master/csl-citation.json"} </w:instrText>
      </w:r>
      <w:r w:rsidRPr="009C1AD8">
        <w:rPr>
          <w:rFonts w:ascii="Cambria" w:hAnsi="Cambria"/>
          <w:color w:val="000000"/>
          <w:sz w:val="22"/>
          <w:szCs w:val="22"/>
          <w:lang w:val="en-GB" w:eastAsia="es-ES_tradnl"/>
        </w:rPr>
        <w:fldChar w:fldCharType="separate"/>
      </w:r>
      <w:r w:rsidRPr="009C1AD8">
        <w:rPr>
          <w:rFonts w:ascii="Cambria" w:hAnsi="Cambria"/>
          <w:sz w:val="22"/>
        </w:rPr>
        <w:t>(Alarifi et al., 2016)</w:t>
      </w:r>
      <w:r w:rsidRPr="009C1AD8">
        <w:rPr>
          <w:rFonts w:ascii="Cambria" w:hAnsi="Cambria"/>
          <w:color w:val="000000"/>
          <w:sz w:val="22"/>
          <w:szCs w:val="22"/>
          <w:lang w:val="en-GB" w:eastAsia="es-ES_tradnl"/>
        </w:rPr>
        <w:fldChar w:fldCharType="end"/>
      </w:r>
      <w:r w:rsidRPr="009C1AD8">
        <w:rPr>
          <w:rFonts w:ascii="Cambria" w:hAnsi="Cambria"/>
          <w:color w:val="000000"/>
          <w:sz w:val="22"/>
          <w:szCs w:val="22"/>
          <w:lang w:val="en-GB" w:eastAsia="es-ES_tradnl"/>
        </w:rPr>
        <w:t xml:space="preserve">. On the other hand, since UWB is only allowed to transmit at very low power. Its signal emits little noise and can coexist with other services without influencing them </w:t>
      </w:r>
      <w:r w:rsidRPr="009C1AD8">
        <w:rPr>
          <w:rFonts w:ascii="Cambria" w:hAnsi="Cambria"/>
          <w:color w:val="000000"/>
          <w:sz w:val="22"/>
          <w:szCs w:val="22"/>
          <w:lang w:val="en-GB" w:eastAsia="es-ES_tradnl"/>
        </w:rPr>
        <w:fldChar w:fldCharType="begin"/>
      </w:r>
      <w:r w:rsidRPr="009C1AD8">
        <w:rPr>
          <w:rFonts w:ascii="Cambria" w:hAnsi="Cambria"/>
          <w:color w:val="000000"/>
          <w:sz w:val="22"/>
          <w:szCs w:val="22"/>
          <w:lang w:val="en-GB" w:eastAsia="es-ES_tradnl"/>
        </w:rPr>
        <w:instrText xml:space="preserve"> ADDIN ZOTERO_ITEM CSL_CITATION {"citationID":"oLNHCeAz","properties":{"formattedCitation":"(Bastida-Castillo, G\\uc0\\u243{}mez-Carmona, De la Cruz-S\\uc0\\u225{}nchez, et al., 2019)","plainCitation":"(Bastida-Castillo, Gómez-Carmona, De la Cruz-Sánchez, et al., 2019)","noteIndex":0},"citationItems":[{"id":3957,"uris":["http://zotero.org/groups/2252673/items/5P4T6I4K",["http://zotero.org/groups/2252673/items/5P4T6I4K"]],"itemData":{"id":3957,"type":"article-journal","abstract":"The purpose of this study was to assess the accuracy of positional data and the inter-unit reliability of an ultra-wide-band (UWB) tracking system. Four well-trained males performed ﬁve courses designed for the analysis of x- and y-coordinate accuracy analysis, speciﬁcally related to the positional distance variation between the UWB data and the ﬁxed reference lines of a basketball court. This was achieved using geographic information system (GIS) mapping software that calculated, for each interval and participant, the distance from the main axis of dis</w:instrText>
      </w:r>
      <w:r w:rsidRPr="009C1AD8">
        <w:rPr>
          <w:rFonts w:ascii="Cambria" w:hAnsi="Cambria"/>
          <w:color w:val="000000"/>
          <w:sz w:val="22"/>
          <w:szCs w:val="22"/>
          <w:lang w:val="es-ES" w:eastAsia="es-ES_tradnl"/>
        </w:rPr>
        <w:instrText>placement and from the opposite side of the court each 0.5 s (x and y coordinate). The accuracy of the results was satisfactory, with a mean absolute error of all estimations for the x-position of 5.2 ± 3.1 cm and for the y-position of 5.8 ± 2.3 cm. Regarding inter-unit reliability, the intra-class correlation coef</w:instrText>
      </w:r>
      <w:r w:rsidRPr="009C1AD8">
        <w:rPr>
          <w:rFonts w:ascii="Cambria" w:hAnsi="Cambria"/>
          <w:color w:val="000000"/>
          <w:sz w:val="22"/>
          <w:szCs w:val="22"/>
          <w:lang w:val="en-GB" w:eastAsia="es-ES_tradnl"/>
        </w:rPr>
        <w:instrText>ﬁ</w:instrText>
      </w:r>
      <w:r w:rsidRPr="009C1AD8">
        <w:rPr>
          <w:rFonts w:ascii="Cambria" w:hAnsi="Cambria"/>
          <w:color w:val="000000"/>
          <w:sz w:val="22"/>
          <w:szCs w:val="22"/>
          <w:lang w:val="es-ES" w:eastAsia="es-ES_tradnl"/>
        </w:rPr>
        <w:instrText xml:space="preserve">cient (ICC) value was high for the x-coordinate (0.65) and very high for the y-coordinate (0.85). The main </w:instrText>
      </w:r>
      <w:r w:rsidRPr="009C1AD8">
        <w:rPr>
          <w:rFonts w:ascii="Cambria" w:hAnsi="Cambria"/>
          <w:color w:val="000000"/>
          <w:sz w:val="22"/>
          <w:szCs w:val="22"/>
          <w:lang w:val="en-GB" w:eastAsia="es-ES_tradnl"/>
        </w:rPr>
        <w:instrText>ﬁ</w:instrText>
      </w:r>
      <w:r w:rsidRPr="009C1AD8">
        <w:rPr>
          <w:rFonts w:ascii="Cambria" w:hAnsi="Cambria"/>
          <w:color w:val="000000"/>
          <w:sz w:val="22"/>
          <w:szCs w:val="22"/>
          <w:lang w:val="es-ES" w:eastAsia="es-ES_tradnl"/>
        </w:rPr>
        <w:instrText>ndings of the study were: (i) The accuracy of UWB tracking systems can be considered suitable for practical applications in sport analyses; (ii) position estimations are very precise and acceptable for tactical analyses; (iii) the error of the position estimations does not change signi</w:instrText>
      </w:r>
      <w:r w:rsidRPr="009C1AD8">
        <w:rPr>
          <w:rFonts w:ascii="Cambria" w:hAnsi="Cambria"/>
          <w:color w:val="000000"/>
          <w:sz w:val="22"/>
          <w:szCs w:val="22"/>
          <w:lang w:val="en-GB" w:eastAsia="es-ES_tradnl"/>
        </w:rPr>
        <w:instrText>ﬁ</w:instrText>
      </w:r>
      <w:r w:rsidRPr="009C1AD8">
        <w:rPr>
          <w:rFonts w:ascii="Cambria" w:hAnsi="Cambria"/>
          <w:color w:val="000000"/>
          <w:sz w:val="22"/>
          <w:szCs w:val="22"/>
          <w:lang w:val="es-ES" w:eastAsia="es-ES_tradnl"/>
        </w:rPr>
        <w:instrText>cantly across different courses; and (iv) the use of different devices does not signi</w:instrText>
      </w:r>
      <w:r w:rsidRPr="009C1AD8">
        <w:rPr>
          <w:rFonts w:ascii="Cambria" w:hAnsi="Cambria"/>
          <w:color w:val="000000"/>
          <w:sz w:val="22"/>
          <w:szCs w:val="22"/>
          <w:lang w:val="en-GB" w:eastAsia="es-ES_tradnl"/>
        </w:rPr>
        <w:instrText>ﬁ</w:instrText>
      </w:r>
      <w:r w:rsidRPr="009C1AD8">
        <w:rPr>
          <w:rFonts w:ascii="Cambria" w:hAnsi="Cambria"/>
          <w:color w:val="000000"/>
          <w:sz w:val="22"/>
          <w:szCs w:val="22"/>
          <w:lang w:val="es-ES" w:eastAsia="es-ES_tradnl"/>
        </w:rPr>
        <w:instrText xml:space="preserve">cantly affect the measurement error.","container-title":"Applied Sciences","DOI":"10.3390/app9050939","ISSN":"2076-3417","issue":"5","language":"en","page":"939","source":"Crossref","title":"Accuracy and Inter-Unit Reliability of Ultra-Wide-Band Tracking System in Indoor Exercise","volume":"9","author":[{"family":"Bastida-Castillo","given":"Alejandro"},{"family":"Gómez-Carmona","given":"Carlos"},{"family":"De la Cruz-Sánchez","given":"Ernesto"},{"family":"Reche-Royo","given":"Xavier"},{"family":"Ibáñez","given":"Sergio"},{"family":"Pino Ortega","given":"José"}],"issued":{"date-parts":[["2019",3,6]]}}}],"schema":"https://github.com/citation-style-language/schema/raw/master/csl-citation.json"} </w:instrText>
      </w:r>
      <w:r w:rsidRPr="009C1AD8">
        <w:rPr>
          <w:rFonts w:ascii="Cambria" w:hAnsi="Cambria"/>
          <w:color w:val="000000"/>
          <w:sz w:val="22"/>
          <w:szCs w:val="22"/>
          <w:lang w:val="en-GB" w:eastAsia="es-ES_tradnl"/>
        </w:rPr>
        <w:fldChar w:fldCharType="separate"/>
      </w:r>
      <w:r w:rsidRPr="009C1AD8">
        <w:rPr>
          <w:rFonts w:ascii="Cambria" w:hAnsi="Cambria"/>
          <w:sz w:val="22"/>
          <w:lang w:val="es-ES"/>
        </w:rPr>
        <w:t>(Bastida-Castillo, Gómez-Carmona, De la Cruz-Sánchez, et al., 2019)</w:t>
      </w:r>
      <w:r w:rsidRPr="009C1AD8">
        <w:rPr>
          <w:rFonts w:ascii="Cambria" w:hAnsi="Cambria"/>
          <w:color w:val="000000"/>
          <w:sz w:val="22"/>
          <w:szCs w:val="22"/>
          <w:lang w:val="en-GB" w:eastAsia="es-ES_tradnl"/>
        </w:rPr>
        <w:fldChar w:fldCharType="end"/>
      </w:r>
      <w:r w:rsidRPr="009C1AD8">
        <w:rPr>
          <w:rFonts w:ascii="Cambria" w:hAnsi="Cambria"/>
          <w:color w:val="000000"/>
          <w:sz w:val="22"/>
          <w:szCs w:val="22"/>
          <w:lang w:val="es-ES" w:eastAsia="es-ES_tradnl"/>
        </w:rPr>
        <w:t xml:space="preserve">. </w:t>
      </w:r>
      <w:r w:rsidRPr="009C1AD8">
        <w:rPr>
          <w:rFonts w:ascii="Cambria" w:hAnsi="Cambria"/>
          <w:color w:val="000000"/>
          <w:sz w:val="22"/>
          <w:szCs w:val="22"/>
          <w:lang w:eastAsia="es-ES_tradnl"/>
        </w:rPr>
        <w:t xml:space="preserve">This </w:t>
      </w:r>
      <w:r w:rsidRPr="009C1AD8">
        <w:rPr>
          <w:rFonts w:ascii="Cambria" w:hAnsi="Cambria"/>
          <w:color w:val="000000"/>
          <w:sz w:val="22"/>
          <w:szCs w:val="22"/>
          <w:shd w:val="clear" w:color="auto" w:fill="FFFFFF"/>
        </w:rPr>
        <w:t xml:space="preserve">UWB system has recently been validated </w:t>
      </w:r>
      <w:r w:rsidRPr="009C1AD8">
        <w:rPr>
          <w:rFonts w:ascii="Cambria" w:hAnsi="Cambria"/>
          <w:color w:val="000000"/>
          <w:sz w:val="22"/>
          <w:szCs w:val="22"/>
          <w:shd w:val="clear" w:color="auto" w:fill="FFFFFF"/>
          <w:lang w:val="en-GB"/>
        </w:rPr>
        <w:t xml:space="preserve">for collective tactical behaviour variables </w:t>
      </w:r>
      <w:r w:rsidRPr="009C1AD8">
        <w:rPr>
          <w:rFonts w:ascii="Cambria" w:hAnsi="Cambria"/>
          <w:color w:val="000000"/>
          <w:sz w:val="22"/>
          <w:szCs w:val="22"/>
          <w:shd w:val="clear" w:color="auto" w:fill="FFFFFF"/>
          <w:lang w:val="en-GB"/>
        </w:rPr>
        <w:fldChar w:fldCharType="begin"/>
      </w:r>
      <w:r w:rsidRPr="009C1AD8">
        <w:rPr>
          <w:rFonts w:ascii="Cambria" w:hAnsi="Cambria"/>
          <w:color w:val="000000"/>
          <w:sz w:val="22"/>
          <w:szCs w:val="22"/>
          <w:shd w:val="clear" w:color="auto" w:fill="FFFFFF"/>
          <w:lang w:val="en-GB"/>
        </w:rPr>
        <w:instrText xml:space="preserve"> ADDIN ZOTERO_ITEM CSL_CITATION {"citationID":"zHDybY3b","properties":{"formattedCitation":"(Bastida-Castillo, G\\uc0\\u243{}mez-Carmona, De La Cruz S\\uc0\\u225{}nchez, et al., 2019)","plainCitation":"(Bastida-Castillo, Gómez-Carmona, De La Cruz Sánchez, et al., 2019)","noteIndex":0},"citationItems":[{"id":4054,"uris":["http://zotero.org/groups/2252673/items/YRHCHU6R",["http://zotero.org/groups/2252673/items/YRHCHU6R"]],"itemData":{"id":4054,"type":"article-journal","abstract":"Current studies have reported high accuracy in global positioning system (GPS) and recently developed ultra-wideband (UWB)-based tracking systems for monitoring time – motion patterns. The accuracy and reliability of both systems may be different in tactical analysis application, an aspect that has never been studied previously. The aims of the present study were: (i) to determine and compare the accuracy of GPS and UWB technologies in soccer players’ positions (ii) to compare the tactical application of both systems. Following institutional ethical approval and familiarisation, 14 welltrained soccer players performed tests around five courses: (a) field perimeter, (b) halfway line, (c) centre circle, (d) perimeter of the penalty area, and (e) semicircle penalty area. Also, a small-sided game was played monitored with WIMUPRO™ to determine real and practical differences in acc</w:instrText>
      </w:r>
      <w:r w:rsidRPr="009C1AD8">
        <w:rPr>
          <w:rFonts w:ascii="Cambria" w:hAnsi="Cambria"/>
          <w:color w:val="000000"/>
          <w:sz w:val="22"/>
          <w:szCs w:val="22"/>
          <w:shd w:val="clear" w:color="auto" w:fill="FFFFFF"/>
          <w:lang w:val="es-ES"/>
        </w:rPr>
        <w:instrText xml:space="preserve">uracy of both systems in tactical analysis. For the GPS, the mean absolute error (N = 9445) of “x” and “y” coordinates was 41.23 ± 17.31 cm and 47.6 ± 8.97 cm, respectively. For UWB, it was 9.57 ± 2.66 cm and 7.15 ± 2.62 cm. The results of the “x” and “y” accuracy comparison were significantly lower in all cases (p &lt; 0.05) with an ES of 0.78 and 0.95, respectively. In a real practical application, the differences of both systems reached 8.31% in typical tactical variables (ES = 0.11). In contrast to GPS-10Hz, UWB WIMUPRO™-20 Hz has been demonstrated to be an acceptable technology to estimate the position of players on the pitch with high accuracy and be a useful, automatic, and portable instrument for tactical analysis measurement.","container-title":"European Journal of Sport Science","DOI":"10.1080/17461391.2019.1584248","ISSN":"1746-1391, 1536-7290","issue":"9","journalAbbreviation":"European Journal of Sport Science","language":"en","page":"1157-1165","source":"DOI.org (Crossref)","title":"Comparing accuracy between global positioning systems and ultra-wideband-based position tracking systems used for tactical analyses in soccer","volume":"19","author":[{"family":"Bastida-Castillo","given":"Alejandro"},{"family":"Gómez-Carmona","given":"Carlos D."},{"family":"De La Cruz Sánchez","given":"Ernesto"},{"family":"Pino-Ortega","given":"José"}],"issued":{"date-parts":[["2019",10,21]]}}}],"schema":"https://github.com/citation-style-language/schema/raw/master/csl-citation.json"} </w:instrText>
      </w:r>
      <w:r w:rsidRPr="009C1AD8">
        <w:rPr>
          <w:rFonts w:ascii="Cambria" w:hAnsi="Cambria"/>
          <w:color w:val="000000"/>
          <w:sz w:val="22"/>
          <w:szCs w:val="22"/>
          <w:shd w:val="clear" w:color="auto" w:fill="FFFFFF"/>
          <w:lang w:val="en-GB"/>
        </w:rPr>
        <w:fldChar w:fldCharType="separate"/>
      </w:r>
      <w:r w:rsidRPr="009C1AD8">
        <w:rPr>
          <w:rFonts w:ascii="Cambria" w:hAnsi="Cambria"/>
          <w:sz w:val="22"/>
          <w:lang w:val="es-ES"/>
        </w:rPr>
        <w:t>(Bastida-Castillo, Gómez-Carmona, De La Cruz Sánchez, et al., 2019)</w:t>
      </w:r>
      <w:r w:rsidRPr="009C1AD8">
        <w:rPr>
          <w:rFonts w:ascii="Cambria" w:hAnsi="Cambria"/>
          <w:color w:val="000000"/>
          <w:sz w:val="22"/>
          <w:szCs w:val="22"/>
          <w:shd w:val="clear" w:color="auto" w:fill="FFFFFF"/>
          <w:lang w:val="en-GB"/>
        </w:rPr>
        <w:fldChar w:fldCharType="end"/>
      </w:r>
      <w:r w:rsidRPr="009C1AD8">
        <w:rPr>
          <w:rFonts w:ascii="Cambria" w:hAnsi="Cambria"/>
          <w:color w:val="000000"/>
          <w:sz w:val="22"/>
          <w:szCs w:val="22"/>
          <w:shd w:val="clear" w:color="auto" w:fill="FFFFFF"/>
          <w:lang w:val="es-ES"/>
        </w:rPr>
        <w:t>.</w:t>
      </w:r>
    </w:p>
    <w:p w14:paraId="7BB1E479" w14:textId="77777777" w:rsidR="00A4168E" w:rsidRPr="009C1AD8" w:rsidRDefault="00A4168E" w:rsidP="00A4168E">
      <w:pPr>
        <w:ind w:firstLine="708"/>
        <w:jc w:val="both"/>
        <w:rPr>
          <w:rFonts w:ascii="Cambria" w:hAnsi="Cambria"/>
          <w:sz w:val="22"/>
          <w:szCs w:val="22"/>
          <w:lang w:val="es-ES"/>
        </w:rPr>
      </w:pPr>
    </w:p>
    <w:p w14:paraId="7296FACD" w14:textId="77777777" w:rsidR="00A4168E" w:rsidRPr="009C1AD8" w:rsidRDefault="00A4168E" w:rsidP="00A4168E">
      <w:pPr>
        <w:ind w:firstLine="708"/>
        <w:jc w:val="both"/>
        <w:rPr>
          <w:rFonts w:ascii="Cambria" w:hAnsi="Cambria"/>
          <w:sz w:val="22"/>
          <w:szCs w:val="22"/>
          <w:lang w:val="en-GB"/>
        </w:rPr>
      </w:pPr>
      <w:r w:rsidRPr="009C1AD8">
        <w:rPr>
          <w:rFonts w:ascii="Cambria" w:hAnsi="Cambria"/>
          <w:sz w:val="22"/>
          <w:szCs w:val="22"/>
          <w:lang w:val="en-GB"/>
        </w:rPr>
        <w:t>Ultra-wide band antennas were placed around the playing field. The auto-start process was carried out followed by their synchronisation prior to the placement of the tracking devices on the participants. The auto-start process followed a protocol that incorporated each device in the internal configuration at the start. For auto-start, three aspects were considered: (</w:t>
      </w:r>
      <w:proofErr w:type="spellStart"/>
      <w:r w:rsidRPr="009C1AD8">
        <w:rPr>
          <w:rFonts w:ascii="Cambria" w:hAnsi="Cambria"/>
          <w:sz w:val="22"/>
          <w:szCs w:val="22"/>
          <w:lang w:val="en-GB"/>
        </w:rPr>
        <w:t>i</w:t>
      </w:r>
      <w:proofErr w:type="spellEnd"/>
      <w:r w:rsidRPr="009C1AD8">
        <w:rPr>
          <w:rFonts w:ascii="Cambria" w:hAnsi="Cambria"/>
          <w:sz w:val="22"/>
          <w:szCs w:val="22"/>
          <w:lang w:val="en-GB"/>
        </w:rPr>
        <w:t xml:space="preserve">) leaving the device immobile for 30 seconds, (ii) placing it on a flat area and (iii) without magnetic devices around it. All WIMUs were attached to the players by a special vest inside a pocket placed between the scapulae at the T2-T4 level and prior to in-field exercises following previous study protocols </w:t>
      </w:r>
      <w:r w:rsidRPr="009C1AD8">
        <w:rPr>
          <w:rFonts w:ascii="Cambria" w:hAnsi="Cambria"/>
          <w:sz w:val="22"/>
          <w:szCs w:val="22"/>
          <w:lang w:val="en-GB"/>
        </w:rPr>
        <w:fldChar w:fldCharType="begin"/>
      </w:r>
      <w:r w:rsidRPr="009C1AD8">
        <w:rPr>
          <w:rFonts w:ascii="Cambria" w:hAnsi="Cambria"/>
          <w:sz w:val="22"/>
          <w:szCs w:val="22"/>
          <w:lang w:val="en-GB"/>
        </w:rPr>
        <w:instrText xml:space="preserve"> ADDIN ZOTERO_ITEM CSL_CITATION {"citationID":"0QsMAzuu","properties":{"formattedCitation":"(Reche-Soto et al., 2019)","plainCitation":"(Reche-Soto et al., 2019)","noteIndex":0},"citationItems":[{"id":4085,"uris":["http://zotero.org/groups/2252673/items/RVE9VU9X",["http://zotero.org/groups/2252673/items/RVE9VU9X"]],"itemData":{"id":4085,"type":"article-journal","abstract":"There has recently been an increase in quantification and objective analysis of soccer performance due to improvements in technology using load indexes such as PlayerLoadTM and Metabolic Power. The objectives of this study were: (1) to describe the performance of PlayerLoadTM and Metabolic Power in competition according to the specific role, match-to-match variation, periods of play, game location and match status according to game periods, and (2) to analyze the relationship between both indexes. Twenty-one nationallevel soccer players were distributed in the following specific positional roles: external defenders (ED) (n = 4), central defenders (CD) (n = 4), midfielders (M) (n = 5), external midfielders (EM) (n = 4) and attackers (A) (n = 4). A total of 12 matches played by a Spanish Third Division team during the 2016/2017 season were analyzed. WIMU PROTM inertial devices (RealTrack System, Almeria, Spain) were used for recording the data. The main results were: (1) a performance reduction in both variables over the course of match time, (2) significant differences in both variables based on the specific position, (3) differences in physical demands during the season matches, (4) winning during a game period and the condition of being the visitor team provoked higher demands, and (5) a high correlation between both variables in soccer. In conclusion, different contextual variables influence the external load demands; both indexes are related so they could be used for external load quantification, and it is necessary to analyze physical demands of the competition for a specific and individualized load design in training sessions.","journalAbbreviation":"Journal of Human Kinetics","language":"en","page":"13","source":"Zotero","title":"Player Load and Metabolic Power Dynamics as Load Quantifiers in Soccer","author":[{"family":"Reche-Soto","given":"Pedro"},{"family":"Cardona-Nieto","given":"Donaldo"},{"family":"Diaz-Suarez","given":"Arturo"},{"family":"Bastida-Castillo","given":"Alejandro"},{"family":"Gomez-Carmona","given":"Carlos"},{"family":"Garcia-Rubio","given":"Javier"},{"family":"Pino-Ortega","given":"Jose"}],"issued":{"date-parts":[["2019"]]}}}],"schema":"https://github.com/citation-style-language/schema/raw/master/csl-citation.json"} </w:instrText>
      </w:r>
      <w:r w:rsidRPr="009C1AD8">
        <w:rPr>
          <w:rFonts w:ascii="Cambria" w:hAnsi="Cambria"/>
          <w:sz w:val="22"/>
          <w:szCs w:val="22"/>
          <w:lang w:val="en-GB"/>
        </w:rPr>
        <w:fldChar w:fldCharType="separate"/>
      </w:r>
      <w:r w:rsidRPr="009C1AD8">
        <w:rPr>
          <w:rFonts w:ascii="Cambria" w:hAnsi="Cambria"/>
          <w:sz w:val="22"/>
        </w:rPr>
        <w:t>(Reche-Soto et al., 2019)</w:t>
      </w:r>
      <w:r w:rsidRPr="009C1AD8">
        <w:rPr>
          <w:rFonts w:ascii="Cambria" w:hAnsi="Cambria"/>
          <w:sz w:val="22"/>
          <w:szCs w:val="22"/>
          <w:lang w:val="en-GB"/>
        </w:rPr>
        <w:fldChar w:fldCharType="end"/>
      </w:r>
      <w:r w:rsidRPr="009C1AD8">
        <w:rPr>
          <w:rFonts w:ascii="Cambria" w:hAnsi="Cambria"/>
          <w:sz w:val="22"/>
          <w:szCs w:val="22"/>
          <w:lang w:val="en-GB"/>
        </w:rPr>
        <w:t>.</w:t>
      </w:r>
    </w:p>
    <w:p w14:paraId="25208CA0" w14:textId="77777777" w:rsidR="00A4168E" w:rsidRPr="009C1AD8" w:rsidRDefault="00A4168E" w:rsidP="00A4168E">
      <w:pPr>
        <w:ind w:firstLine="708"/>
        <w:jc w:val="both"/>
        <w:rPr>
          <w:rFonts w:ascii="Cambria" w:hAnsi="Cambria"/>
          <w:i/>
          <w:iCs/>
          <w:sz w:val="22"/>
          <w:szCs w:val="22"/>
          <w:lang w:val="en-GB"/>
        </w:rPr>
      </w:pPr>
    </w:p>
    <w:p w14:paraId="6CBF9D3B" w14:textId="77777777" w:rsidR="00A4168E" w:rsidRPr="009C1AD8" w:rsidRDefault="00A4168E" w:rsidP="00A4168E">
      <w:pPr>
        <w:jc w:val="both"/>
        <w:rPr>
          <w:rFonts w:ascii="Cambria" w:hAnsi="Cambria"/>
          <w:i/>
          <w:iCs/>
          <w:color w:val="000000"/>
          <w:sz w:val="22"/>
          <w:szCs w:val="22"/>
          <w:lang w:val="en-GB"/>
        </w:rPr>
      </w:pPr>
      <w:r w:rsidRPr="009C1AD8">
        <w:rPr>
          <w:rFonts w:ascii="Cambria" w:hAnsi="Cambria"/>
          <w:i/>
          <w:iCs/>
          <w:color w:val="000000"/>
          <w:sz w:val="22"/>
          <w:szCs w:val="22"/>
          <w:lang w:val="en-GB"/>
        </w:rPr>
        <w:lastRenderedPageBreak/>
        <w:t>Data processing</w:t>
      </w:r>
    </w:p>
    <w:p w14:paraId="0DFFC8BD" w14:textId="77777777" w:rsidR="00A4168E" w:rsidRPr="009C1AD8" w:rsidRDefault="00A4168E" w:rsidP="00A4168E">
      <w:pPr>
        <w:ind w:firstLine="708"/>
        <w:jc w:val="both"/>
        <w:rPr>
          <w:rFonts w:ascii="Cambria" w:hAnsi="Cambria"/>
          <w:color w:val="000000"/>
          <w:sz w:val="22"/>
          <w:szCs w:val="22"/>
          <w:lang w:eastAsia="es-ES"/>
        </w:rPr>
      </w:pPr>
      <w:r w:rsidRPr="009C1AD8">
        <w:rPr>
          <w:rFonts w:ascii="Cambria" w:hAnsi="Cambria"/>
          <w:color w:val="000000"/>
          <w:sz w:val="22"/>
          <w:szCs w:val="22"/>
        </w:rPr>
        <w:t xml:space="preserve">To investigate the accuracy of the UWB system for monitoring players´ positions on the court, the data were transformed into raw position data (x and y coordinates) using a software (S PRO, </w:t>
      </w:r>
      <w:proofErr w:type="spellStart"/>
      <w:r w:rsidRPr="009C1AD8">
        <w:rPr>
          <w:rFonts w:ascii="Cambria" w:hAnsi="Cambria"/>
          <w:color w:val="000000"/>
          <w:sz w:val="22"/>
          <w:szCs w:val="22"/>
        </w:rPr>
        <w:t>RealTrack</w:t>
      </w:r>
      <w:proofErr w:type="spellEnd"/>
      <w:r w:rsidRPr="009C1AD8">
        <w:rPr>
          <w:rFonts w:ascii="Cambria" w:hAnsi="Cambria"/>
          <w:color w:val="000000"/>
          <w:sz w:val="22"/>
          <w:szCs w:val="22"/>
        </w:rPr>
        <w:t xml:space="preserve"> </w:t>
      </w:r>
      <w:proofErr w:type="spellStart"/>
      <w:r w:rsidRPr="009C1AD8">
        <w:rPr>
          <w:rFonts w:ascii="Cambria" w:hAnsi="Cambria"/>
          <w:color w:val="000000"/>
          <w:sz w:val="22"/>
          <w:szCs w:val="22"/>
        </w:rPr>
        <w:t>Sytems</w:t>
      </w:r>
      <w:proofErr w:type="spellEnd"/>
      <w:r w:rsidRPr="009C1AD8">
        <w:rPr>
          <w:rFonts w:ascii="Cambria" w:hAnsi="Cambria"/>
          <w:color w:val="000000"/>
          <w:sz w:val="22"/>
          <w:szCs w:val="22"/>
        </w:rPr>
        <w:t xml:space="preserve">, Almeria, Spain). </w:t>
      </w:r>
      <w:r w:rsidRPr="009C1AD8">
        <w:rPr>
          <w:rFonts w:ascii="Cambria" w:hAnsi="Cambria"/>
          <w:color w:val="000000"/>
          <w:sz w:val="22"/>
          <w:szCs w:val="22"/>
          <w:lang w:val="en-GB"/>
        </w:rPr>
        <w:t xml:space="preserve">Four different sampling frequencies were considered </w:t>
      </w:r>
      <w:commentRangeStart w:id="17"/>
      <w:r w:rsidRPr="009C1AD8">
        <w:rPr>
          <w:rFonts w:ascii="Cambria" w:hAnsi="Cambria"/>
          <w:color w:val="000000"/>
          <w:sz w:val="22"/>
          <w:szCs w:val="22"/>
          <w:lang w:val="en-GB"/>
        </w:rPr>
        <w:t xml:space="preserve">(1 Hz, 2 Hz, 4 Hz, and 10 Hz). </w:t>
      </w:r>
      <w:commentRangeEnd w:id="17"/>
      <w:r w:rsidR="00CB467C">
        <w:rPr>
          <w:rStyle w:val="CommentReference"/>
        </w:rPr>
        <w:commentReference w:id="17"/>
      </w:r>
      <w:r w:rsidRPr="009C1AD8">
        <w:rPr>
          <w:rFonts w:ascii="Cambria" w:hAnsi="Cambria"/>
          <w:color w:val="000000"/>
          <w:sz w:val="22"/>
          <w:szCs w:val="22"/>
        </w:rPr>
        <w:t xml:space="preserve">And then, the x and y coordinate data of the UWB system were introduced and compared. </w:t>
      </w:r>
      <w:r w:rsidRPr="009C1AD8">
        <w:rPr>
          <w:rFonts w:ascii="Cambria" w:hAnsi="Cambria"/>
          <w:color w:val="000000"/>
          <w:sz w:val="22"/>
          <w:szCs w:val="22"/>
          <w:lang w:val="en-GB"/>
        </w:rPr>
        <w:t xml:space="preserve">Subsequently, we assessed the impact of the sampling frequency on the measurement of the CCP and TA. </w:t>
      </w:r>
      <w:r w:rsidRPr="009C1AD8">
        <w:rPr>
          <w:rFonts w:ascii="Cambria" w:hAnsi="Cambria"/>
          <w:color w:val="000000"/>
          <w:sz w:val="22"/>
          <w:szCs w:val="22"/>
        </w:rPr>
        <w:t xml:space="preserve">For statistical analysis purposes, the datasets corresponding to each sampling frequency were balanced in order to perform </w:t>
      </w:r>
      <w:r w:rsidRPr="009C1AD8">
        <w:rPr>
          <w:rFonts w:ascii="Cambria" w:hAnsi="Cambria"/>
          <w:color w:val="000000"/>
          <w:sz w:val="22"/>
          <w:szCs w:val="22"/>
          <w:lang w:eastAsia="es-ES"/>
        </w:rPr>
        <w:t xml:space="preserve">intraclass correlation coefficient and Bland Altman agreement. The balancing was performed </w:t>
      </w:r>
      <w:proofErr w:type="spellStart"/>
      <w:r w:rsidRPr="009C1AD8">
        <w:rPr>
          <w:rFonts w:ascii="Cambria" w:hAnsi="Cambria"/>
          <w:color w:val="000000"/>
          <w:sz w:val="22"/>
          <w:szCs w:val="22"/>
          <w:lang w:eastAsia="es-ES"/>
        </w:rPr>
        <w:t>downsampling</w:t>
      </w:r>
      <w:proofErr w:type="spellEnd"/>
      <w:r w:rsidRPr="009C1AD8">
        <w:rPr>
          <w:rFonts w:ascii="Cambria" w:hAnsi="Cambria"/>
          <w:color w:val="000000"/>
          <w:sz w:val="22"/>
          <w:szCs w:val="22"/>
          <w:lang w:eastAsia="es-ES"/>
        </w:rPr>
        <w:t xml:space="preserve"> each dataset, calculating the mean of the data each 2 Hz, 4 Hz and 10 Hz values in order to have the same amount of data in each dataset.</w:t>
      </w:r>
    </w:p>
    <w:p w14:paraId="28C4A825" w14:textId="77777777" w:rsidR="00A4168E" w:rsidRPr="009C1AD8" w:rsidRDefault="00A4168E" w:rsidP="00A4168E">
      <w:pPr>
        <w:ind w:firstLine="708"/>
        <w:jc w:val="both"/>
        <w:rPr>
          <w:rFonts w:ascii="Cambria" w:hAnsi="Cambria"/>
          <w:color w:val="FF0000"/>
          <w:sz w:val="22"/>
          <w:szCs w:val="22"/>
          <w:lang w:val="en-GB"/>
        </w:rPr>
      </w:pPr>
    </w:p>
    <w:p w14:paraId="1B7350BC" w14:textId="77777777" w:rsidR="00A4168E" w:rsidRPr="009C1AD8" w:rsidRDefault="00A4168E" w:rsidP="00A4168E">
      <w:pPr>
        <w:jc w:val="both"/>
        <w:rPr>
          <w:rFonts w:ascii="Cambria" w:hAnsi="Cambria"/>
          <w:i/>
          <w:iCs/>
          <w:color w:val="000000"/>
          <w:sz w:val="22"/>
          <w:szCs w:val="22"/>
          <w:lang w:val="en-GB"/>
        </w:rPr>
      </w:pPr>
      <w:r w:rsidRPr="009C1AD8">
        <w:rPr>
          <w:rFonts w:ascii="Cambria" w:hAnsi="Cambria"/>
          <w:i/>
          <w:iCs/>
          <w:color w:val="000000"/>
          <w:sz w:val="22"/>
          <w:szCs w:val="22"/>
          <w:lang w:val="en-GB"/>
        </w:rPr>
        <w:t>Statistical analysis</w:t>
      </w:r>
    </w:p>
    <w:p w14:paraId="31ED061A" w14:textId="77777777" w:rsidR="00BD3F0E" w:rsidRPr="009C1AD8" w:rsidRDefault="00A4168E" w:rsidP="00A4168E">
      <w:pPr>
        <w:pStyle w:val="HTMLPreformatted"/>
        <w:jc w:val="both"/>
        <w:rPr>
          <w:rFonts w:ascii="Cambria" w:hAnsi="Cambria"/>
          <w:color w:val="000000"/>
          <w:sz w:val="22"/>
          <w:szCs w:val="22"/>
          <w:lang w:val="en-GB" w:eastAsia="es-CR"/>
        </w:rPr>
      </w:pPr>
      <w:r w:rsidRPr="009C1AD8">
        <w:rPr>
          <w:rFonts w:ascii="Cambria" w:hAnsi="Cambria"/>
          <w:color w:val="000000"/>
          <w:sz w:val="22"/>
          <w:szCs w:val="22"/>
          <w:lang w:val="en-GB" w:eastAsia="es-CR"/>
        </w:rPr>
        <w:tab/>
        <w:t xml:space="preserve">The data are presented as means with standard deviation. The Shapiro Wilk test was applied to confirm the normality of the data, verifying the feasibility of using parametric inference. </w:t>
      </w:r>
      <w:r w:rsidRPr="009C1AD8">
        <w:rPr>
          <w:rFonts w:ascii="Cambria" w:hAnsi="Cambria"/>
          <w:color w:val="000000"/>
          <w:sz w:val="22"/>
          <w:szCs w:val="22"/>
          <w:lang w:val="en-US" w:eastAsia="es-CR"/>
        </w:rPr>
        <w:t xml:space="preserve">Following previous study principles </w:t>
      </w:r>
      <w:r w:rsidRPr="009C1AD8">
        <w:rPr>
          <w:rFonts w:ascii="Cambria" w:hAnsi="Cambria"/>
          <w:color w:val="000000"/>
          <w:sz w:val="22"/>
          <w:szCs w:val="22"/>
          <w:lang w:val="en-US" w:eastAsia="es-CR"/>
        </w:rPr>
        <w:fldChar w:fldCharType="begin"/>
      </w:r>
      <w:r w:rsidRPr="009C1AD8">
        <w:rPr>
          <w:rFonts w:ascii="Cambria" w:hAnsi="Cambria"/>
          <w:color w:val="000000"/>
          <w:sz w:val="22"/>
          <w:szCs w:val="22"/>
          <w:lang w:val="en-US" w:eastAsia="es-CR"/>
        </w:rPr>
        <w:instrText xml:space="preserve"> ADDIN ZOTERO_ITEM CSL_CITATION {"citationID":"jjd3DQMW","properties":{"formattedCitation":"(Kottner &amp; Streiner, 2011; Zaki et al., 2012)","plainCitation":"(Kottner &amp; Streiner, 2011; Zaki et al., 2012)","noteIndex":0},"citationItems":[{"id":3766,"uris":["http://zotero.org/groups/2252673/items/IHTK5NKW",["http://zotero.org/groups/2252673/items/IHTK5NKW"]],"itemData":{"id":3766,"type":"article-journal","container-title":"Journal of Clinical Epidemiology","DOI":"10.1016/j.jclinepi.2010.12.001","ISSN":"08954356","issue":"6","language":"en","page":"701-702","source":"Crossref","title":"The difference between reliability and agreement","volume":"64","author":[{"family":"Kottner","given":"Jan"},{"family":"Streiner","given":"David L."}],"issued":{"date-parts":[["2011",6]]}}},{"id":3767,"uris":["http://zotero.org/groups/2252673/items/5DDMLYGZ",["http://zotero.org/groups/2252673/items/5DDMLYGZ"]],"itemData":{"id":3767,"type":"article-journal","abstract":"Background: Accurate values are a must in medicine. An important parameter in determining the quality of a medical instrument is agreement with a gold standard. Various statistical methods have been used to test for agreement. Some of these methods have been shown to be inappropriate. This can result in misleading conclusions about the validity of an instrument. The Bland-Altman method is the most popular method judging by the many citations of the article proposing this method. However, the number of citations does not necessarily mean that this method has been applied in agreement research. No previous study has been conducted to look into this. This is the first systematic review to identify statistical methods used to test for agreement of medical instruments. The proportion of various statistical methods found in this review will also reflect the proportion of medical instruments that have been validated using those particular methods in current clinical practice.\nMethodology/Findings: Five electronic databases were searched between 2007 and 2009 to look for agreement studies. A total of 3,260 titles were initially identified. Only 412 titles were potentially related, and finally 210 fitted the inclusion criteria. The Bland-Altman method is the most popular method with 178 (85%) studies having used this method, followed by the correlation coefficient (27%) and means comparison (18%). Some of the inappropriate methods highlighted by Altman and Bland since the 1980s are still in use.\nConclusions: This study finds that the Bland-Altman method is the most popular method used in agreement research. There are still inappropriate applications of statistical methods in some studies. It is important for a clinician or medical researcher to be aware of this issue because misleading conclusions from inappropriate analyses will jeopardize the quality of the evidence, which in turn will influence quality of care given to patients in the future.","container-title":"PLoS ONE","DOI":"10.1371/journal.pone.0037908","ISSN":"1932-6203","issue":"5","language":"en","page":"e37908","source":"Crossref","title":"Statistical Methods Used to Test for Agreement of Medical Instruments Measuring Continuous Variables in Method Comparison Studies: A Systematic Review","title-short":"Statistical Methods Used to Test for Agreement of Medical Instruments Measuring Continuous Variables in Method Comparison Studies","volume":"7","author":[{"family":"Zaki","given":"Rafdzah"},{"family":"Bulgiba","given":"Awang"},{"family":"Ismail","given":"Roshidi"},{"family":"Ismail","given":"Noor Azina"}],"editor":[{"family":"Rapallo","given":"Fabio"}],"issued":{"date-parts":[["2012",5,25]]}}}],"schema":"https://github.com/citation-style-language/schema/raw/master/csl-citation.json"} </w:instrText>
      </w:r>
      <w:r w:rsidRPr="009C1AD8">
        <w:rPr>
          <w:rFonts w:ascii="Cambria" w:hAnsi="Cambria"/>
          <w:color w:val="000000"/>
          <w:sz w:val="22"/>
          <w:szCs w:val="22"/>
          <w:lang w:val="en-US" w:eastAsia="es-CR"/>
        </w:rPr>
        <w:fldChar w:fldCharType="separate"/>
      </w:r>
      <w:r w:rsidRPr="009C1AD8">
        <w:rPr>
          <w:rFonts w:ascii="Cambria" w:hAnsi="Cambria"/>
          <w:sz w:val="22"/>
          <w:lang w:val="en-US"/>
        </w:rPr>
        <w:t>(Kottner &amp; Streiner, 2011; Zaki et al., 2012)</w:t>
      </w:r>
      <w:r w:rsidRPr="009C1AD8">
        <w:rPr>
          <w:rFonts w:ascii="Cambria" w:hAnsi="Cambria"/>
          <w:color w:val="000000"/>
          <w:sz w:val="22"/>
          <w:szCs w:val="22"/>
          <w:lang w:val="en-US" w:eastAsia="es-CR"/>
        </w:rPr>
        <w:fldChar w:fldCharType="end"/>
      </w:r>
      <w:r w:rsidRPr="009C1AD8">
        <w:rPr>
          <w:rFonts w:ascii="Cambria" w:hAnsi="Cambria"/>
          <w:color w:val="000000"/>
          <w:sz w:val="22"/>
          <w:szCs w:val="22"/>
          <w:lang w:val="en-US" w:eastAsia="es-CR"/>
        </w:rPr>
        <w:t xml:space="preserve">, </w:t>
      </w:r>
      <w:r w:rsidRPr="009C1AD8">
        <w:rPr>
          <w:rFonts w:ascii="Cambria" w:hAnsi="Cambria"/>
          <w:color w:val="000000"/>
          <w:sz w:val="22"/>
          <w:szCs w:val="22"/>
          <w:lang w:val="en-US" w:eastAsia="es-ES"/>
        </w:rPr>
        <w:t>we analyzed the agreement among the different sampling frequencies.</w:t>
      </w:r>
      <w:r w:rsidRPr="009C1AD8">
        <w:rPr>
          <w:rFonts w:ascii="Cambria" w:hAnsi="Cambria"/>
          <w:color w:val="000000"/>
          <w:sz w:val="22"/>
          <w:szCs w:val="22"/>
          <w:lang w:val="en-US" w:eastAsia="es-CR"/>
        </w:rPr>
        <w:t xml:space="preserve"> </w:t>
      </w:r>
      <w:r w:rsidRPr="009C1AD8">
        <w:rPr>
          <w:rFonts w:ascii="Cambria" w:hAnsi="Cambria"/>
          <w:color w:val="000000"/>
          <w:sz w:val="22"/>
          <w:szCs w:val="22"/>
          <w:lang w:val="en-US" w:eastAsia="es-ES"/>
        </w:rPr>
        <w:t>We used these tests</w:t>
      </w:r>
      <w:r w:rsidRPr="009C1AD8">
        <w:rPr>
          <w:rFonts w:ascii="Cambria" w:hAnsi="Cambria"/>
          <w:color w:val="000000"/>
          <w:sz w:val="22"/>
          <w:szCs w:val="22"/>
          <w:lang w:val="en-US" w:eastAsia="es-CR"/>
        </w:rPr>
        <w:t xml:space="preserve">: </w:t>
      </w:r>
      <w:r w:rsidRPr="009C1AD8">
        <w:rPr>
          <w:rFonts w:ascii="Cambria" w:hAnsi="Cambria"/>
          <w:color w:val="000000"/>
          <w:sz w:val="22"/>
          <w:szCs w:val="22"/>
          <w:lang w:val="en-US" w:eastAsia="es-ES"/>
        </w:rPr>
        <w:t>1) intraclass correlation coefficient (ICC) with a mixed two-way model and a 95% CI</w:t>
      </w:r>
      <w:r w:rsidRPr="009C1AD8">
        <w:rPr>
          <w:rFonts w:ascii="Cambria" w:hAnsi="Cambria"/>
          <w:color w:val="000000"/>
          <w:sz w:val="22"/>
          <w:szCs w:val="22"/>
          <w:lang w:val="en-US" w:eastAsia="es-CR"/>
        </w:rPr>
        <w:t xml:space="preserve">; 2) </w:t>
      </w:r>
      <w:r w:rsidRPr="009C1AD8">
        <w:rPr>
          <w:rFonts w:ascii="Cambria" w:hAnsi="Cambria"/>
          <w:color w:val="000000"/>
          <w:sz w:val="22"/>
          <w:szCs w:val="22"/>
          <w:lang w:val="en-US" w:eastAsia="es-ES"/>
        </w:rPr>
        <w:t xml:space="preserve">2) one sample t-test of the differences using the Bland and Altman </w:t>
      </w:r>
      <w:r w:rsidRPr="009C1AD8">
        <w:rPr>
          <w:rFonts w:ascii="Cambria" w:hAnsi="Cambria"/>
          <w:color w:val="000000"/>
          <w:sz w:val="22"/>
          <w:szCs w:val="22"/>
          <w:lang w:val="en-US" w:eastAsia="es-CR"/>
        </w:rPr>
        <w:fldChar w:fldCharType="begin"/>
      </w:r>
      <w:r w:rsidRPr="009C1AD8">
        <w:rPr>
          <w:rFonts w:ascii="Cambria" w:hAnsi="Cambria"/>
          <w:color w:val="000000"/>
          <w:sz w:val="22"/>
          <w:szCs w:val="22"/>
          <w:lang w:val="en-US" w:eastAsia="es-CR"/>
        </w:rPr>
        <w:instrText xml:space="preserve"> ADDIN ZOTERO_ITEM CSL_CITATION {"citationID":"ajfamqsk37","properties":{"formattedCitation":"(Bland JM, Altman DG., 1987)","plainCitation":"(Bland JM, Altman DG., 1987)","dontUpdate":true,"noteIndex":0},"citationItems":[{"id":3909,"uris":["http://zotero.org/groups/2252673/items/VLAA6VI8",["http://zotero.org/groups/2252673/items/VLAA6VI8"]],"itemData":{"id":3909,"type":"article-journal","journalAbbreviation":"Biochimica Clinica","page":"399-404","title":"Statistical methods for assessing agreement between measurement.","volume":"11","author":[{"literal":"Bland JM, Altman DG."}],"issued":{"date-parts":[["1987"]]}}}],"schema":"https://github.com/citation-style-language/schema/raw/master/csl-citation.json"} </w:instrText>
      </w:r>
      <w:r w:rsidRPr="009C1AD8">
        <w:rPr>
          <w:rFonts w:ascii="Cambria" w:hAnsi="Cambria"/>
          <w:color w:val="000000"/>
          <w:sz w:val="22"/>
          <w:szCs w:val="22"/>
          <w:lang w:val="en-US" w:eastAsia="es-CR"/>
        </w:rPr>
        <w:fldChar w:fldCharType="separate"/>
      </w:r>
      <w:r w:rsidRPr="009C1AD8">
        <w:rPr>
          <w:rFonts w:ascii="Cambria" w:hAnsi="Cambria"/>
          <w:color w:val="000000"/>
          <w:sz w:val="22"/>
          <w:szCs w:val="22"/>
          <w:lang w:val="en-US"/>
        </w:rPr>
        <w:t>(1987)</w:t>
      </w:r>
      <w:r w:rsidRPr="009C1AD8">
        <w:rPr>
          <w:rFonts w:ascii="Cambria" w:hAnsi="Cambria"/>
          <w:color w:val="000000"/>
          <w:sz w:val="22"/>
          <w:szCs w:val="22"/>
          <w:lang w:val="en-US" w:eastAsia="es-CR"/>
        </w:rPr>
        <w:fldChar w:fldCharType="end"/>
      </w:r>
      <w:r w:rsidRPr="009C1AD8">
        <w:rPr>
          <w:rFonts w:ascii="Cambria" w:hAnsi="Cambria"/>
          <w:color w:val="000000"/>
          <w:sz w:val="22"/>
          <w:szCs w:val="22"/>
          <w:lang w:val="en-US" w:eastAsia="es-CR"/>
        </w:rPr>
        <w:t xml:space="preserve"> </w:t>
      </w:r>
      <w:r w:rsidRPr="009C1AD8">
        <w:rPr>
          <w:rFonts w:ascii="Cambria" w:hAnsi="Cambria"/>
          <w:color w:val="000000"/>
          <w:sz w:val="22"/>
          <w:szCs w:val="22"/>
          <w:lang w:val="en-US" w:eastAsia="es-ES"/>
        </w:rPr>
        <w:t xml:space="preserve"> method to assess bias and agreement</w:t>
      </w:r>
      <w:r w:rsidRPr="009C1AD8">
        <w:rPr>
          <w:rFonts w:ascii="Cambria" w:hAnsi="Cambria"/>
          <w:color w:val="000000"/>
          <w:sz w:val="22"/>
          <w:szCs w:val="22"/>
          <w:lang w:val="en-US" w:eastAsia="es-CR"/>
        </w:rPr>
        <w:t xml:space="preserve">, </w:t>
      </w:r>
      <w:r w:rsidRPr="009C1AD8">
        <w:rPr>
          <w:rFonts w:ascii="Cambria" w:hAnsi="Cambria"/>
          <w:color w:val="000000"/>
          <w:sz w:val="22"/>
          <w:szCs w:val="22"/>
          <w:lang w:val="en-US" w:eastAsia="es-ES"/>
        </w:rPr>
        <w:t>3) r-Pearson to explore linear correlation between the different sampling frequencies; 4) t-test to explore significant differences between variable sampling frequency</w:t>
      </w:r>
      <w:r w:rsidRPr="009C1AD8">
        <w:rPr>
          <w:rFonts w:ascii="Cambria" w:hAnsi="Cambria"/>
          <w:color w:val="000000"/>
          <w:sz w:val="22"/>
          <w:szCs w:val="22"/>
          <w:lang w:val="en-US"/>
        </w:rPr>
        <w:t xml:space="preserve">. Moreover, magnitude of the difference </w:t>
      </w:r>
      <w:r w:rsidRPr="009C1AD8">
        <w:rPr>
          <w:rFonts w:ascii="Cambria" w:hAnsi="Cambria"/>
          <w:color w:val="000000"/>
          <w:sz w:val="22"/>
          <w:szCs w:val="22"/>
          <w:lang w:val="en-GB"/>
        </w:rPr>
        <w:t xml:space="preserve">was assessed using Cohen’s </w:t>
      </w:r>
      <w:r w:rsidRPr="009C1AD8">
        <w:rPr>
          <w:rFonts w:ascii="Cambria" w:hAnsi="Cambria"/>
          <w:i/>
          <w:color w:val="000000"/>
          <w:sz w:val="22"/>
          <w:szCs w:val="22"/>
          <w:lang w:val="en-GB"/>
        </w:rPr>
        <w:t>d</w:t>
      </w:r>
      <w:r w:rsidRPr="009C1AD8">
        <w:rPr>
          <w:rFonts w:ascii="Cambria" w:hAnsi="Cambria"/>
          <w:color w:val="000000"/>
          <w:sz w:val="22"/>
          <w:szCs w:val="22"/>
          <w:lang w:val="en-GB"/>
        </w:rPr>
        <w:t xml:space="preserve"> effect size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{"citationID":"1kcmf4lla9","properties":{"formattedCitation":"(Cohen, 1988)","plainCitation":"(Cohen, 1988)","noteIndex":0},"citationItems":[{"id":"VQHgM34i/UjyHVx7W","uris":["http://zotero.org/users/1735524/items/AZQH79Z3",["http://zotero.org/users/1735524/items/AZQH79Z3"]],"itemData":{"id":655,"type":"book","title":"Statistical power analysis for the behavioral sciences.","publisher":"L. Erlbaum Associates","number-of-pages":"567","edition":"Second Edition","author":[{"family":"Cohen","given":"Jacob"}],"issued":{"date-parts":[["1988"]]}}}],"schema":"https://github.com/citation-style-language/schema/raw/master/csl-citation.json"}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lang w:val="en-US"/>
        </w:rPr>
        <w:t>(Cohen, 1988)</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qualitatively rated as follows: &lt; 0.2 </w:t>
      </w:r>
      <w:r w:rsidRPr="009C1AD8">
        <w:rPr>
          <w:rFonts w:ascii="Cambria" w:hAnsi="Cambria"/>
          <w:i/>
          <w:color w:val="000000"/>
          <w:sz w:val="22"/>
          <w:szCs w:val="22"/>
          <w:lang w:val="en-GB"/>
        </w:rPr>
        <w:t>trivial</w:t>
      </w:r>
      <w:r w:rsidRPr="009C1AD8">
        <w:rPr>
          <w:rFonts w:ascii="Cambria" w:hAnsi="Cambria"/>
          <w:color w:val="000000"/>
          <w:sz w:val="22"/>
          <w:szCs w:val="22"/>
          <w:lang w:val="en-GB"/>
        </w:rPr>
        <w:t xml:space="preserve">, 0.2-0.6 </w:t>
      </w:r>
      <w:r w:rsidRPr="009C1AD8">
        <w:rPr>
          <w:rFonts w:ascii="Cambria" w:hAnsi="Cambria"/>
          <w:i/>
          <w:color w:val="000000"/>
          <w:sz w:val="22"/>
          <w:szCs w:val="22"/>
          <w:lang w:val="en-GB"/>
        </w:rPr>
        <w:t>small</w:t>
      </w:r>
      <w:r w:rsidRPr="009C1AD8">
        <w:rPr>
          <w:rFonts w:ascii="Cambria" w:hAnsi="Cambria"/>
          <w:color w:val="000000"/>
          <w:sz w:val="22"/>
          <w:szCs w:val="22"/>
          <w:lang w:val="en-GB"/>
        </w:rPr>
        <w:t xml:space="preserve">, 0.6-1.2 </w:t>
      </w:r>
      <w:r w:rsidRPr="009C1AD8">
        <w:rPr>
          <w:rFonts w:ascii="Cambria" w:hAnsi="Cambria"/>
          <w:i/>
          <w:color w:val="000000"/>
          <w:sz w:val="22"/>
          <w:szCs w:val="22"/>
          <w:lang w:val="en-GB"/>
        </w:rPr>
        <w:t>moderate</w:t>
      </w:r>
      <w:r w:rsidRPr="009C1AD8">
        <w:rPr>
          <w:rFonts w:ascii="Cambria" w:hAnsi="Cambria"/>
          <w:color w:val="000000"/>
          <w:sz w:val="22"/>
          <w:szCs w:val="22"/>
          <w:lang w:val="en-GB"/>
        </w:rPr>
        <w:t xml:space="preserve">, 1.2-2 </w:t>
      </w:r>
      <w:r w:rsidRPr="009C1AD8">
        <w:rPr>
          <w:rFonts w:ascii="Cambria" w:hAnsi="Cambria"/>
          <w:i/>
          <w:color w:val="000000"/>
          <w:sz w:val="22"/>
          <w:szCs w:val="22"/>
          <w:lang w:val="en-GB"/>
        </w:rPr>
        <w:t>large</w:t>
      </w:r>
      <w:r w:rsidRPr="009C1AD8">
        <w:rPr>
          <w:rFonts w:ascii="Cambria" w:hAnsi="Cambria"/>
          <w:color w:val="000000"/>
          <w:sz w:val="22"/>
          <w:szCs w:val="22"/>
          <w:lang w:val="en-GB"/>
        </w:rPr>
        <w:t xml:space="preserve">, and 2.0-4.0 </w:t>
      </w:r>
      <w:r w:rsidRPr="009C1AD8">
        <w:rPr>
          <w:rFonts w:ascii="Cambria" w:hAnsi="Cambria"/>
          <w:i/>
          <w:color w:val="000000"/>
          <w:sz w:val="22"/>
          <w:szCs w:val="22"/>
          <w:lang w:val="en-GB"/>
        </w:rPr>
        <w:t>very large</w:t>
      </w:r>
      <w:r w:rsidRPr="009C1AD8">
        <w:rPr>
          <w:rFonts w:ascii="Cambria" w:hAnsi="Cambria"/>
          <w:color w:val="000000"/>
          <w:sz w:val="22"/>
          <w:szCs w:val="22"/>
          <w:lang w:val="en-GB"/>
        </w:rPr>
        <w:t xml:space="preserve">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{"citationID":"168scc5p0t","properties":{"formattedCitation":"(Hopkins et al., 2009)","plainCitation":"(Hopkins et al., 2009)","noteIndex":0},"citationItems":[{"id":"VQHgM34i/KausyjkN","uris":["http://zotero.org/users/1735524/items/JVT68E9B",["http://zotero.org/users/1735524/items/JVT68E9B"]],"itemData":{"id":656,"type":"article-journal","title":"Progressive statistics for studies in sports medicine and exercise science","container-title":"Medicine and science in sports and exercise","page":"3-13","volume":"41","issue":"1","source":"NCBI PubMed","abstract":"Statistical guidelines and expert statements are now available to assist in the analysis and reporting of studies in some biomedical disciplines. We present here a more progressive resource for sample-based studies, meta-analyses, and case studies in sports medicine and exercise science. We offer forthright advice on the following controversial or novel issues: using precision of estimation for inferences about population effects in preference to null-hypothesis testing, which is inadequate for assessing clinical or practical importance; justifying sample size via acceptable precision or confidence for clinical decisions rather than via adequate power for statistical significance; showing SD rather than SEM, to better communicate the magnitude of differences in means and nonuniformity of error; avoiding purely nonparametric analyses, which cannot provide inferences about magnitude and are unnecessary; using regression statistics in validity studies, in preference to the impractical and biased limits of agreement; making greater use of qualitative methods to enrich sample-based quantitative projects; and seeking ethics approval for public access to the depersonalized raw data of a study, to address the need for more scrutiny of research and better meta-analyses. Advice on less contentious issues includes the following: using covariates in linear models to adjust for confounders, to account for individual differences, and to identify potential mechanisms of an effect; using log transformation to deal with nonuniformity of effects and error; identifying and deleting outliers; presenting descriptive, effect, and inferential statistics in appropriate formats; and contending with bias arising from problems with sampling, assignment, blinding, measurement error, and researchers' prejudices. This article should advance the field by stimulating debate, promoting innovative approaches, and serving as a useful checklist for authors, reviewers, and editors.","DOI":"10.1249/MSS.0b013e31818cb278","ISSN":"1530-0315","note":"PMID: 19092709","journalAbbreviation":"Med Sci Sports Exerc","language":"eng","author":[{"family":"Hopkins","given":"William G"},{"family":"Marshall","given":"Stephen W"},{"family":"Batterham","given":"Alan M"},{"family":"Hanin","given":"Juri"}],"issued":{"date-parts":[["2009",1]]},"PMID":"19092709"}}],"schema":"https://github.com/citation-style-language/schema/raw/master/csl-citation.json"}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lang w:val="en-US"/>
        </w:rPr>
        <w:t>(Hopkins et al., 2009)</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w:t>
      </w:r>
      <w:r w:rsidRPr="009C1AD8">
        <w:rPr>
          <w:rFonts w:ascii="Cambria" w:hAnsi="Cambria"/>
          <w:color w:val="000000"/>
          <w:sz w:val="22"/>
          <w:szCs w:val="22"/>
          <w:lang w:val="en-GB" w:eastAsia="es-CR"/>
        </w:rPr>
        <w:t>Statistical differences were considered significant if p&lt; 0.05. Statistical analyses were developed using SPSS and Figures were drawn using Graph Prism software.</w:t>
      </w:r>
    </w:p>
    <w:p w14:paraId="6D0FEA0F" w14:textId="77777777" w:rsidR="00BD3F0E" w:rsidRPr="009C1AD8" w:rsidRDefault="00BD3F0E">
      <w:pPr>
        <w:spacing w:after="120"/>
        <w:jc w:val="center"/>
        <w:rPr>
          <w:rFonts w:ascii="Cambria" w:eastAsia="Cambria" w:hAnsi="Cambria" w:cs="Cambria"/>
          <w:b/>
          <w:color w:val="000000"/>
          <w:sz w:val="22"/>
          <w:szCs w:val="22"/>
        </w:rPr>
      </w:pPr>
    </w:p>
    <w:p w14:paraId="169340C1" w14:textId="77777777" w:rsidR="00BD3F0E" w:rsidRPr="009C1AD8" w:rsidRDefault="00A4168E">
      <w:pPr>
        <w:spacing w:after="120"/>
        <w:jc w:val="center"/>
        <w:rPr>
          <w:rFonts w:ascii="Cambria" w:eastAsia="Cambria" w:hAnsi="Cambria" w:cs="Cambria"/>
          <w:b/>
          <w:color w:val="000000"/>
          <w:sz w:val="22"/>
          <w:szCs w:val="22"/>
        </w:rPr>
      </w:pPr>
      <w:bookmarkStart w:id="18" w:name="_heading=h.30j0zll" w:colFirst="0" w:colLast="0"/>
      <w:bookmarkEnd w:id="18"/>
      <w:r w:rsidRPr="009C1AD8">
        <w:rPr>
          <w:rFonts w:ascii="Cambria" w:eastAsia="Cambria" w:hAnsi="Cambria" w:cs="Cambria"/>
          <w:b/>
          <w:color w:val="000000"/>
          <w:sz w:val="22"/>
          <w:szCs w:val="22"/>
        </w:rPr>
        <w:t>RESULTS AND DISCUSSION</w:t>
      </w:r>
    </w:p>
    <w:p w14:paraId="2A27F6F8" w14:textId="77777777" w:rsidR="00BD3F0E" w:rsidRPr="009C1AD8" w:rsidRDefault="00A4168E">
      <w:pPr>
        <w:jc w:val="both"/>
        <w:rPr>
          <w:rFonts w:ascii="Cambria" w:eastAsia="Cambria" w:hAnsi="Cambria" w:cs="Cambria"/>
          <w:i/>
          <w:sz w:val="22"/>
          <w:szCs w:val="22"/>
        </w:rPr>
      </w:pPr>
      <w:r w:rsidRPr="009C1AD8">
        <w:rPr>
          <w:rFonts w:ascii="Cambria" w:eastAsia="Cambria" w:hAnsi="Cambria" w:cs="Cambria"/>
          <w:i/>
          <w:sz w:val="22"/>
          <w:szCs w:val="22"/>
        </w:rPr>
        <w:t>Results</w:t>
      </w:r>
      <w:r w:rsidRPr="009C1AD8">
        <w:rPr>
          <w:rFonts w:ascii="Cambria" w:eastAsia="Cambria" w:hAnsi="Cambria" w:cs="Cambria"/>
          <w:i/>
          <w:sz w:val="22"/>
          <w:szCs w:val="22"/>
        </w:rPr>
        <w:tab/>
      </w:r>
      <w:r w:rsidRPr="009C1AD8">
        <w:rPr>
          <w:rFonts w:ascii="Cambria" w:eastAsia="Cambria" w:hAnsi="Cambria" w:cs="Cambria"/>
          <w:i/>
          <w:sz w:val="22"/>
          <w:szCs w:val="22"/>
        </w:rPr>
        <w:tab/>
      </w:r>
    </w:p>
    <w:p w14:paraId="5A3A4D2D" w14:textId="77777777" w:rsidR="00A4168E" w:rsidRPr="009C1AD8" w:rsidRDefault="00A4168E">
      <w:pPr>
        <w:jc w:val="both"/>
        <w:rPr>
          <w:rFonts w:ascii="Cambria" w:eastAsia="Cambria" w:hAnsi="Cambria" w:cs="Cambria"/>
          <w:i/>
          <w:sz w:val="22"/>
          <w:szCs w:val="22"/>
        </w:rPr>
      </w:pPr>
    </w:p>
    <w:p w14:paraId="09AFA353" w14:textId="77777777" w:rsidR="00A4168E" w:rsidRPr="009C1AD8" w:rsidRDefault="00A4168E" w:rsidP="00A4168E">
      <w:pPr>
        <w:ind w:firstLine="708"/>
        <w:jc w:val="both"/>
        <w:rPr>
          <w:rFonts w:ascii="Cambria" w:hAnsi="Cambria"/>
          <w:color w:val="000000"/>
          <w:sz w:val="22"/>
          <w:szCs w:val="22"/>
          <w:lang w:val="en-GB"/>
        </w:rPr>
      </w:pPr>
      <w:r w:rsidRPr="009C1AD8">
        <w:rPr>
          <w:rFonts w:ascii="Cambria" w:hAnsi="Cambria"/>
          <w:color w:val="000000"/>
          <w:sz w:val="22"/>
          <w:szCs w:val="22"/>
          <w:lang w:val="en-GB"/>
        </w:rPr>
        <w:t>ICC and linear correlation values ranged from 0.07 to 0.79 and from 0.49 to 0.99, respectively, according to the sampling frequencies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and the task. Significant (p&lt;0.01) and substantial (ES = </w:t>
      </w:r>
      <w:r w:rsidRPr="009C1AD8">
        <w:rPr>
          <w:rFonts w:ascii="Cambria" w:hAnsi="Cambria"/>
          <w:i/>
          <w:color w:val="000000"/>
          <w:sz w:val="22"/>
          <w:szCs w:val="22"/>
          <w:lang w:val="en-GB"/>
        </w:rPr>
        <w:t>large</w:t>
      </w:r>
      <w:r w:rsidRPr="009C1AD8">
        <w:rPr>
          <w:rFonts w:ascii="Cambria" w:hAnsi="Cambria"/>
          <w:color w:val="000000"/>
          <w:sz w:val="22"/>
          <w:szCs w:val="22"/>
          <w:lang w:val="en-GB"/>
        </w:rPr>
        <w:t>) differences were found among the CCP values recorded at different sampling frequency in all tasks (Table 1).</w:t>
      </w:r>
    </w:p>
    <w:p w14:paraId="321950D0" w14:textId="77777777" w:rsidR="00A4168E" w:rsidRPr="009C1AD8" w:rsidRDefault="00A4168E" w:rsidP="00A4168E">
      <w:pPr>
        <w:jc w:val="both"/>
        <w:rPr>
          <w:rFonts w:ascii="Cambria" w:hAnsi="Cambria"/>
          <w:color w:val="000000"/>
          <w:sz w:val="22"/>
          <w:szCs w:val="22"/>
          <w:lang w:val="en-GB"/>
        </w:rPr>
      </w:pPr>
    </w:p>
    <w:p w14:paraId="103E151B" w14:textId="77777777" w:rsidR="00A4168E" w:rsidRPr="009C1AD8" w:rsidRDefault="00A4168E" w:rsidP="00A4168E">
      <w:pPr>
        <w:jc w:val="center"/>
        <w:rPr>
          <w:rFonts w:ascii="Cambria" w:hAnsi="Cambria"/>
          <w:color w:val="000000"/>
          <w:sz w:val="22"/>
          <w:szCs w:val="22"/>
          <w:lang w:eastAsia="es-ES_tradnl"/>
        </w:rPr>
      </w:pPr>
      <w:r w:rsidRPr="009C1AD8">
        <w:rPr>
          <w:rFonts w:ascii="Cambria" w:hAnsi="Cambria"/>
          <w:color w:val="000000"/>
          <w:sz w:val="22"/>
          <w:szCs w:val="22"/>
          <w:shd w:val="clear" w:color="auto" w:fill="FFFFFF"/>
          <w:lang w:eastAsia="es-ES_tradnl"/>
        </w:rPr>
        <w:t>[Insert Table 1 near here]</w:t>
      </w:r>
    </w:p>
    <w:p w14:paraId="38BC629C" w14:textId="77777777" w:rsidR="00A4168E" w:rsidRPr="009C1AD8" w:rsidRDefault="00A4168E" w:rsidP="00A4168E">
      <w:pPr>
        <w:jc w:val="both"/>
        <w:rPr>
          <w:rFonts w:ascii="Cambria" w:hAnsi="Cambria"/>
          <w:color w:val="000000"/>
          <w:sz w:val="22"/>
          <w:szCs w:val="22"/>
          <w:lang w:val="en-GB"/>
        </w:rPr>
      </w:pPr>
    </w:p>
    <w:p w14:paraId="2E1FBE2F" w14:textId="77777777" w:rsidR="00A4168E" w:rsidRPr="009C1AD8" w:rsidRDefault="00A4168E" w:rsidP="00A4168E">
      <w:pPr>
        <w:jc w:val="both"/>
        <w:rPr>
          <w:rFonts w:ascii="Cambria" w:hAnsi="Cambria"/>
          <w:i/>
          <w:color w:val="000000"/>
          <w:sz w:val="22"/>
          <w:szCs w:val="22"/>
          <w:lang w:val="en-GB"/>
        </w:rPr>
      </w:pPr>
    </w:p>
    <w:p w14:paraId="12CFDDCE" w14:textId="77777777" w:rsidR="00A4168E" w:rsidRPr="009C1AD8" w:rsidRDefault="00A4168E" w:rsidP="00A4168E">
      <w:pPr>
        <w:ind w:firstLine="708"/>
        <w:jc w:val="both"/>
        <w:rPr>
          <w:rFonts w:ascii="Cambria" w:hAnsi="Cambria"/>
          <w:color w:val="000000"/>
          <w:sz w:val="22"/>
          <w:szCs w:val="22"/>
          <w:lang w:val="en-GB"/>
        </w:rPr>
      </w:pPr>
      <w:r w:rsidRPr="009C1AD8">
        <w:rPr>
          <w:rFonts w:ascii="Cambria" w:hAnsi="Cambria"/>
          <w:i/>
          <w:color w:val="000000"/>
          <w:sz w:val="22"/>
          <w:szCs w:val="22"/>
          <w:lang w:val="en-GB"/>
        </w:rPr>
        <w:t>High</w:t>
      </w:r>
      <w:r w:rsidRPr="009C1AD8">
        <w:rPr>
          <w:rFonts w:ascii="Cambria" w:hAnsi="Cambria"/>
          <w:color w:val="000000"/>
          <w:sz w:val="22"/>
          <w:szCs w:val="22"/>
          <w:lang w:val="en-GB"/>
        </w:rPr>
        <w:t xml:space="preserve"> to </w:t>
      </w:r>
      <w:r w:rsidRPr="009C1AD8">
        <w:rPr>
          <w:rFonts w:ascii="Cambria" w:hAnsi="Cambria"/>
          <w:i/>
          <w:color w:val="000000"/>
          <w:sz w:val="22"/>
          <w:szCs w:val="22"/>
          <w:lang w:val="en-GB"/>
        </w:rPr>
        <w:t xml:space="preserve">perfect </w:t>
      </w:r>
      <w:r w:rsidRPr="009C1AD8">
        <w:rPr>
          <w:rFonts w:ascii="Cambria" w:hAnsi="Cambria"/>
          <w:color w:val="000000"/>
          <w:sz w:val="22"/>
          <w:szCs w:val="22"/>
          <w:lang w:val="en-GB"/>
        </w:rPr>
        <w:t xml:space="preserve">ICCs (0.91-1) and </w:t>
      </w:r>
      <w:r w:rsidRPr="009C1AD8">
        <w:rPr>
          <w:rFonts w:ascii="Cambria" w:hAnsi="Cambria"/>
          <w:i/>
          <w:color w:val="000000"/>
          <w:sz w:val="22"/>
          <w:szCs w:val="22"/>
          <w:lang w:val="en-GB"/>
        </w:rPr>
        <w:t xml:space="preserve">high </w:t>
      </w:r>
      <w:r w:rsidRPr="009C1AD8">
        <w:rPr>
          <w:rFonts w:ascii="Cambria" w:hAnsi="Cambria"/>
          <w:color w:val="000000"/>
          <w:sz w:val="22"/>
          <w:szCs w:val="22"/>
          <w:lang w:val="en-GB"/>
        </w:rPr>
        <w:t>to</w:t>
      </w:r>
      <w:r w:rsidRPr="009C1AD8">
        <w:rPr>
          <w:rFonts w:ascii="Cambria" w:hAnsi="Cambria"/>
          <w:i/>
          <w:color w:val="000000"/>
          <w:sz w:val="22"/>
          <w:szCs w:val="22"/>
          <w:lang w:val="en-GB"/>
        </w:rPr>
        <w:t xml:space="preserve"> perfect </w:t>
      </w:r>
      <w:r w:rsidRPr="009C1AD8">
        <w:rPr>
          <w:rFonts w:ascii="Cambria" w:hAnsi="Cambria"/>
          <w:color w:val="000000"/>
          <w:sz w:val="22"/>
          <w:szCs w:val="22"/>
          <w:lang w:val="en-GB"/>
        </w:rPr>
        <w:t xml:space="preserve">linear correlations (r= 0.961-1; </w:t>
      </w:r>
      <w:r w:rsidRPr="009C1AD8">
        <w:rPr>
          <w:rFonts w:ascii="Cambria" w:hAnsi="Cambria"/>
          <w:i/>
          <w:color w:val="000000"/>
          <w:sz w:val="22"/>
          <w:szCs w:val="22"/>
          <w:lang w:val="en-GB"/>
        </w:rPr>
        <w:t>p</w:t>
      </w:r>
      <w:r w:rsidRPr="009C1AD8">
        <w:rPr>
          <w:rFonts w:ascii="Cambria" w:hAnsi="Cambria"/>
          <w:color w:val="000000"/>
          <w:sz w:val="22"/>
          <w:szCs w:val="22"/>
          <w:lang w:val="en-GB"/>
        </w:rPr>
        <w:t xml:space="preserve"> &lt; 0.01) were found among the TA values obtained through all sampling frequencies added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derived from the software in the three tasks. No significant (p&gt; 0.05) and substantial (ES = </w:t>
      </w:r>
      <w:r w:rsidRPr="009C1AD8">
        <w:rPr>
          <w:rFonts w:ascii="Cambria" w:hAnsi="Cambria"/>
          <w:i/>
          <w:color w:val="000000"/>
          <w:sz w:val="22"/>
          <w:szCs w:val="22"/>
          <w:lang w:val="en-GB"/>
        </w:rPr>
        <w:t>trivial</w:t>
      </w:r>
      <w:r w:rsidRPr="009C1AD8">
        <w:rPr>
          <w:rFonts w:ascii="Cambria" w:hAnsi="Cambria"/>
          <w:color w:val="000000"/>
          <w:sz w:val="22"/>
          <w:szCs w:val="22"/>
          <w:lang w:val="en-GB"/>
        </w:rPr>
        <w:t>) differences were found among the TA values obtained with all sampling frequency</w:t>
      </w:r>
      <w:r w:rsidRPr="009C1AD8" w:rsidDel="007E70A9">
        <w:rPr>
          <w:rFonts w:ascii="Cambria" w:hAnsi="Cambria"/>
          <w:color w:val="000000"/>
          <w:sz w:val="22"/>
          <w:szCs w:val="22"/>
          <w:lang w:val="en-GB"/>
        </w:rPr>
        <w:t xml:space="preserve"> </w:t>
      </w:r>
      <w:r w:rsidRPr="009C1AD8">
        <w:rPr>
          <w:rFonts w:ascii="Cambria" w:hAnsi="Cambria"/>
          <w:color w:val="000000"/>
          <w:sz w:val="22"/>
          <w:szCs w:val="22"/>
          <w:lang w:val="en-GB"/>
        </w:rPr>
        <w:t xml:space="preserve">in all tasks (Table 1). </w:t>
      </w:r>
    </w:p>
    <w:p w14:paraId="4B7CDB50" w14:textId="77777777" w:rsidR="00A4168E" w:rsidRPr="009C1AD8" w:rsidRDefault="00A4168E" w:rsidP="00A4168E">
      <w:pPr>
        <w:rPr>
          <w:rFonts w:ascii="Cambria" w:hAnsi="Cambria"/>
          <w:b/>
          <w:i/>
          <w:color w:val="000000"/>
          <w:sz w:val="22"/>
          <w:szCs w:val="22"/>
          <w:lang w:val="en-GB"/>
        </w:rPr>
      </w:pPr>
    </w:p>
    <w:p w14:paraId="0FF65DBD" w14:textId="77777777" w:rsidR="00A4168E" w:rsidRPr="009C1AD8" w:rsidRDefault="00A4168E" w:rsidP="00A4168E">
      <w:pPr>
        <w:jc w:val="center"/>
        <w:rPr>
          <w:rFonts w:ascii="Cambria" w:hAnsi="Cambria"/>
          <w:color w:val="000000"/>
          <w:sz w:val="22"/>
          <w:szCs w:val="22"/>
          <w:lang w:eastAsia="es-ES_tradnl"/>
        </w:rPr>
      </w:pPr>
      <w:r w:rsidRPr="009C1AD8">
        <w:rPr>
          <w:rFonts w:ascii="Cambria" w:hAnsi="Cambria"/>
          <w:color w:val="000000"/>
          <w:sz w:val="22"/>
          <w:szCs w:val="22"/>
          <w:shd w:val="clear" w:color="auto" w:fill="FFFFFF"/>
          <w:lang w:eastAsia="es-ES_tradnl"/>
        </w:rPr>
        <w:t>[Insert Table 2 near here]</w:t>
      </w:r>
    </w:p>
    <w:p w14:paraId="7976CEAF" w14:textId="77777777" w:rsidR="00A4168E" w:rsidRPr="009C1AD8" w:rsidRDefault="00A4168E" w:rsidP="00A4168E">
      <w:pPr>
        <w:rPr>
          <w:rFonts w:ascii="Cambria" w:hAnsi="Cambria"/>
          <w:b/>
          <w:i/>
          <w:color w:val="000000"/>
          <w:sz w:val="22"/>
          <w:szCs w:val="22"/>
          <w:lang w:val="en-GB"/>
        </w:rPr>
      </w:pPr>
    </w:p>
    <w:p w14:paraId="5DE40429" w14:textId="77777777" w:rsidR="00A4168E" w:rsidRPr="009C1AD8" w:rsidRDefault="00A4168E" w:rsidP="00A4168E">
      <w:pPr>
        <w:jc w:val="both"/>
        <w:rPr>
          <w:rFonts w:ascii="Cambria" w:hAnsi="Cambria"/>
          <w:color w:val="000000"/>
          <w:sz w:val="22"/>
          <w:szCs w:val="22"/>
          <w:lang w:val="en-GB"/>
        </w:rPr>
      </w:pPr>
    </w:p>
    <w:p w14:paraId="0F808B03" w14:textId="77777777" w:rsidR="00A4168E" w:rsidRPr="009C1AD8" w:rsidRDefault="00A4168E" w:rsidP="00A4168E">
      <w:pPr>
        <w:ind w:firstLine="708"/>
        <w:jc w:val="both"/>
        <w:rPr>
          <w:rFonts w:ascii="Cambria" w:hAnsi="Cambria"/>
          <w:color w:val="000000"/>
          <w:sz w:val="22"/>
          <w:szCs w:val="22"/>
          <w:lang w:val="en-GB"/>
        </w:rPr>
      </w:pPr>
      <w:r w:rsidRPr="009C1AD8">
        <w:rPr>
          <w:rFonts w:ascii="Cambria" w:hAnsi="Cambria"/>
          <w:color w:val="000000"/>
          <w:sz w:val="22"/>
          <w:szCs w:val="22"/>
          <w:lang w:val="en-GB"/>
        </w:rPr>
        <w:t>As an example, Figure 2 shows the CCP and TA values for each sampling frequency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in Task 1.</w:t>
      </w:r>
    </w:p>
    <w:p w14:paraId="5161BE11" w14:textId="77777777" w:rsidR="00A4168E" w:rsidRPr="009C1AD8" w:rsidRDefault="00A4168E" w:rsidP="00A4168E">
      <w:pPr>
        <w:jc w:val="both"/>
        <w:rPr>
          <w:rFonts w:ascii="Cambria" w:hAnsi="Cambria"/>
          <w:color w:val="000000"/>
          <w:sz w:val="22"/>
          <w:szCs w:val="22"/>
          <w:lang w:val="en-GB"/>
        </w:rPr>
      </w:pPr>
    </w:p>
    <w:p w14:paraId="2DC5730F" w14:textId="77777777" w:rsidR="00A4168E" w:rsidRPr="009C1AD8" w:rsidRDefault="00A4168E" w:rsidP="00A4168E">
      <w:pPr>
        <w:jc w:val="center"/>
        <w:rPr>
          <w:rFonts w:ascii="Cambria" w:eastAsia="Cambria" w:hAnsi="Cambria" w:cs="Cambria"/>
          <w:i/>
          <w:sz w:val="22"/>
          <w:szCs w:val="22"/>
        </w:rPr>
      </w:pPr>
      <w:r w:rsidRPr="009C1AD8">
        <w:rPr>
          <w:rFonts w:ascii="Cambria" w:hAnsi="Cambria"/>
          <w:color w:val="000000"/>
          <w:sz w:val="22"/>
          <w:szCs w:val="22"/>
          <w:shd w:val="clear" w:color="auto" w:fill="FFFFFF"/>
          <w:lang w:eastAsia="es-ES_tradnl"/>
        </w:rPr>
        <w:t>[Insert Figure 2 near here]</w:t>
      </w:r>
    </w:p>
    <w:p w14:paraId="0ADBDAF9" w14:textId="77777777" w:rsidR="00A4168E" w:rsidRPr="009C1AD8" w:rsidRDefault="00A4168E">
      <w:pPr>
        <w:jc w:val="both"/>
        <w:rPr>
          <w:rFonts w:ascii="Cambria" w:eastAsia="Cambria" w:hAnsi="Cambria" w:cs="Cambria"/>
          <w:i/>
          <w:sz w:val="22"/>
          <w:szCs w:val="22"/>
        </w:rPr>
      </w:pPr>
    </w:p>
    <w:p w14:paraId="2F6C31BD" w14:textId="77777777" w:rsidR="00A4168E" w:rsidRPr="009C1AD8" w:rsidRDefault="00A4168E">
      <w:pPr>
        <w:jc w:val="both"/>
        <w:rPr>
          <w:rFonts w:ascii="Cambria" w:eastAsia="Cambria" w:hAnsi="Cambria" w:cs="Cambria"/>
          <w:i/>
          <w:sz w:val="22"/>
          <w:szCs w:val="22"/>
        </w:rPr>
      </w:pPr>
    </w:p>
    <w:p w14:paraId="64BCEABD" w14:textId="77777777" w:rsidR="00A4168E" w:rsidRPr="009C1AD8" w:rsidRDefault="00A4168E">
      <w:pPr>
        <w:jc w:val="both"/>
        <w:rPr>
          <w:rFonts w:ascii="Cambria" w:eastAsia="Cambria" w:hAnsi="Cambria" w:cs="Cambria"/>
          <w:i/>
          <w:sz w:val="22"/>
          <w:szCs w:val="22"/>
        </w:rPr>
      </w:pPr>
      <w:commentRangeStart w:id="19"/>
      <w:r w:rsidRPr="009C1AD8">
        <w:rPr>
          <w:rFonts w:ascii="Cambria" w:eastAsia="Cambria" w:hAnsi="Cambria" w:cs="Cambria"/>
          <w:i/>
          <w:sz w:val="22"/>
          <w:szCs w:val="22"/>
        </w:rPr>
        <w:t>Discussion</w:t>
      </w:r>
      <w:commentRangeEnd w:id="19"/>
      <w:r w:rsidR="0092347E">
        <w:rPr>
          <w:rStyle w:val="CommentReference"/>
        </w:rPr>
        <w:commentReference w:id="19"/>
      </w:r>
    </w:p>
    <w:p w14:paraId="3E862EA6" w14:textId="77777777" w:rsidR="00BD3F0E" w:rsidRPr="009C1AD8" w:rsidRDefault="00A4168E">
      <w:pPr>
        <w:jc w:val="both"/>
        <w:rPr>
          <w:rFonts w:ascii="Cambria" w:eastAsia="Cambria" w:hAnsi="Cambria" w:cs="Cambria"/>
          <w:i/>
          <w:sz w:val="22"/>
          <w:szCs w:val="22"/>
        </w:rPr>
      </w:pPr>
      <w:r w:rsidRPr="009C1AD8">
        <w:rPr>
          <w:rFonts w:ascii="Cambria" w:eastAsia="Cambria" w:hAnsi="Cambria" w:cs="Cambria"/>
          <w:i/>
          <w:sz w:val="22"/>
          <w:szCs w:val="22"/>
        </w:rPr>
        <w:tab/>
      </w:r>
    </w:p>
    <w:p w14:paraId="3CB875EA" w14:textId="77777777" w:rsidR="00A4168E" w:rsidRPr="009C1AD8" w:rsidRDefault="00A4168E" w:rsidP="00A4168E">
      <w:pPr>
        <w:ind w:firstLine="708"/>
        <w:jc w:val="both"/>
        <w:rPr>
          <w:rFonts w:ascii="Cambria" w:hAnsi="Cambria"/>
          <w:color w:val="000000"/>
          <w:sz w:val="22"/>
          <w:szCs w:val="22"/>
          <w:lang w:val="en-GB"/>
        </w:rPr>
      </w:pPr>
      <w:commentRangeStart w:id="20"/>
      <w:r w:rsidRPr="009C1AD8">
        <w:rPr>
          <w:rFonts w:ascii="Cambria" w:hAnsi="Cambria"/>
          <w:color w:val="000000"/>
          <w:sz w:val="22"/>
          <w:szCs w:val="22"/>
          <w:lang w:val="en-GB"/>
        </w:rPr>
        <w:lastRenderedPageBreak/>
        <w:t>To</w:t>
      </w:r>
      <w:commentRangeEnd w:id="20"/>
      <w:r w:rsidR="0092347E">
        <w:rPr>
          <w:rStyle w:val="CommentReference"/>
        </w:rPr>
        <w:commentReference w:id="20"/>
      </w:r>
      <w:r w:rsidRPr="009C1AD8">
        <w:rPr>
          <w:rFonts w:ascii="Cambria" w:hAnsi="Cambria"/>
          <w:color w:val="000000"/>
          <w:sz w:val="22"/>
          <w:szCs w:val="22"/>
          <w:lang w:val="en-GB"/>
        </w:rPr>
        <w:t xml:space="preserve"> our knowledge, no study has assessed the influence of the sampling frequency on the measurement of tactical positioning variables in team sports. For this reason, the aim of the present study was to assess how the </w:t>
      </w:r>
      <w:r w:rsidRPr="009C1AD8">
        <w:rPr>
          <w:rFonts w:ascii="Cambria" w:hAnsi="Cambria"/>
          <w:color w:val="000000"/>
          <w:sz w:val="22"/>
          <w:szCs w:val="22"/>
          <w:lang w:val="en-GB" w:eastAsia="es-ES"/>
        </w:rPr>
        <w:t xml:space="preserve">sampling frequency </w:t>
      </w:r>
      <w:r w:rsidRPr="009C1AD8">
        <w:rPr>
          <w:rFonts w:ascii="Cambria" w:hAnsi="Cambria"/>
          <w:color w:val="000000"/>
          <w:sz w:val="22"/>
          <w:szCs w:val="22"/>
          <w:lang w:val="en-GB"/>
        </w:rPr>
        <w:t>(</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affected the outcomes of the CCP and TA during tactical analysis in sports. We found significant and large differences between the values of CCP measured at different sampling frequencies. However, we did not find significant and substantial differences between TA values measured at different sampling frequencies during three controlled tasks. These results suggested that the sampling frequency could indeed affect the outcomes of tactical positioning variables, requiring different sampling frequencies for each variable. </w:t>
      </w:r>
    </w:p>
    <w:p w14:paraId="0B906329" w14:textId="77777777" w:rsidR="00A4168E" w:rsidRPr="009C1AD8" w:rsidRDefault="00A4168E" w:rsidP="00A4168E">
      <w:pPr>
        <w:ind w:firstLine="708"/>
        <w:jc w:val="both"/>
        <w:rPr>
          <w:rFonts w:ascii="Cambria" w:hAnsi="Cambria"/>
          <w:color w:val="000000"/>
          <w:sz w:val="22"/>
          <w:szCs w:val="22"/>
          <w:lang w:val="en-GB"/>
        </w:rPr>
      </w:pPr>
    </w:p>
    <w:p w14:paraId="3D38C482" w14:textId="77777777" w:rsidR="00A4168E" w:rsidRPr="009C1AD8" w:rsidRDefault="00A4168E" w:rsidP="00A4168E">
      <w:pPr>
        <w:ind w:firstLine="708"/>
        <w:jc w:val="both"/>
        <w:rPr>
          <w:rFonts w:ascii="Cambria" w:eastAsia="Palemonas" w:hAnsi="Cambria"/>
          <w:color w:val="000000"/>
          <w:sz w:val="22"/>
          <w:szCs w:val="22"/>
          <w:lang w:val="en-GB" w:eastAsia="es-ES"/>
        </w:rPr>
      </w:pPr>
      <w:r w:rsidRPr="009C1AD8">
        <w:rPr>
          <w:rFonts w:ascii="Cambria" w:hAnsi="Cambria"/>
          <w:color w:val="000000"/>
          <w:sz w:val="22"/>
          <w:szCs w:val="22"/>
          <w:lang w:val="en-GB"/>
        </w:rPr>
        <w:t>Significant and large differences, from 0.07 to 0.79 ICC values and 0.49 to 0.99 association values, respectively, were found between the CCP values measured at different sampling frequencies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during the three controlled tasks (Table 1 and 2). This suggested that the CCP values in the three controlled tasks depended on the sampling frequency. Furthermore, at low frequencies obscured relevant data. </w:t>
      </w:r>
      <w:bookmarkStart w:id="21" w:name="_Hlk42723762"/>
      <w:r w:rsidRPr="009C1AD8">
        <w:rPr>
          <w:rFonts w:ascii="Cambria" w:hAnsi="Cambria"/>
          <w:color w:val="000000"/>
          <w:sz w:val="22"/>
          <w:szCs w:val="22"/>
          <w:lang w:val="en-GB"/>
        </w:rPr>
        <w:t xml:space="preserve">A few years ago, Duarte et al.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{"citationID":"OZVxvWMm","properties":{"formattedCitation":"(Duarte et al., 2010)","plainCitation":"(Duarte et al., 2010)","dontUpdate":true,"noteIndex":0},"citationItems":[{"id":3864,"uris":["http://zotero.org/groups/2252673/items/DLFSVVS2",["http://zotero.org/groups/2252673/items/DLFSVVS2"]],"itemData":{"id":3864,"type":"article-journal","abstract":"Background and objective. In the last years, several motion analysis methods have been developed without considering representative contexts for sports performance. The purpose of this paper was to explain and underscore a straightforward method to measure human behavior in these contexts.","container-title":"Medicina","DOI":"10.3390/medicina46060057","ISSN":"1010-660X","issue":"6","language":"en","page":"408","source":"Crossref","title":"Capturing complex human behaviors in representative sports contexts with a single camera","volume":"46","author":[{"family":"Duarte","given":"Ricardo"},{"family":"Araújo","given":"Duarte"},{"family":"Fernandes","given":"Orlando"},{"family":"Fonseca","given":"Cristina"},{"family":"Correia","given":"Vanda"},{"family":"Gazimba","given":"Vítor"},{"family":"Travassos","given":"Bruno"},{"family":"Esteves","given":"Pedro"},{"family":"Vilar","given":"Luís"},{"family":"Lopes","given":"José"}],"issued":{"date-parts":[["2010",6,12]]}}}],"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noProof/>
          <w:color w:val="000000"/>
          <w:sz w:val="22"/>
          <w:szCs w:val="22"/>
          <w:lang w:val="en-GB"/>
        </w:rPr>
        <w:t>(2010)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compared an original data set with different cut-off frequencies (</w:t>
      </w:r>
      <w:r w:rsidRPr="009C1AD8">
        <w:rPr>
          <w:rFonts w:ascii="Cambria" w:eastAsia="Palemonas" w:hAnsi="Cambria"/>
          <w:color w:val="000000"/>
          <w:sz w:val="22"/>
          <w:szCs w:val="22"/>
          <w:lang w:val="en-GB" w:eastAsia="es-ES"/>
        </w:rPr>
        <w:t>3-Hz and 6-Hz) of an attacker´s locomotion</w:t>
      </w:r>
      <w:r w:rsidRPr="009C1AD8">
        <w:rPr>
          <w:rFonts w:ascii="Cambria" w:hAnsi="Cambria"/>
          <w:color w:val="000000"/>
          <w:sz w:val="22"/>
          <w:szCs w:val="22"/>
          <w:lang w:val="en-GB"/>
        </w:rPr>
        <w:t xml:space="preserve"> </w:t>
      </w:r>
      <w:r w:rsidRPr="009C1AD8">
        <w:rPr>
          <w:rFonts w:ascii="Cambria" w:eastAsia="Palemonas" w:hAnsi="Cambria"/>
          <w:color w:val="000000"/>
          <w:sz w:val="22"/>
          <w:szCs w:val="22"/>
          <w:lang w:val="en-GB" w:eastAsia="es-ES"/>
        </w:rPr>
        <w:t xml:space="preserve">in order to determine what sampling frequency is more adequate for their main analysis (1 vs. 1 football sub-phase). </w:t>
      </w:r>
      <w:r w:rsidRPr="009C1AD8">
        <w:rPr>
          <w:rFonts w:ascii="Cambria" w:hAnsi="Cambria"/>
          <w:color w:val="000000"/>
          <w:sz w:val="22"/>
          <w:szCs w:val="22"/>
          <w:lang w:val="en-GB"/>
        </w:rPr>
        <w:t xml:space="preserve">They </w:t>
      </w:r>
      <w:r w:rsidRPr="009C1AD8">
        <w:rPr>
          <w:rFonts w:ascii="Cambria" w:eastAsia="Palemonas" w:hAnsi="Cambria"/>
          <w:color w:val="000000"/>
          <w:sz w:val="22"/>
          <w:szCs w:val="22"/>
          <w:lang w:val="en-GB" w:eastAsia="es-ES"/>
        </w:rPr>
        <w:t>found less variation using a higher sampling frequency (6-Hz vs 3 Hz). So, it seems that variable represented by a single point (a single pair of spatial coordinates), where magnitude and the minimum time to change substantially may be lower than other collective tactical variables such as total area, could be more sensitive to the sampling frequency.</w:t>
      </w:r>
      <w:bookmarkEnd w:id="21"/>
    </w:p>
    <w:p w14:paraId="45D773F0" w14:textId="77777777" w:rsidR="00A4168E" w:rsidRPr="009C1AD8" w:rsidRDefault="00A4168E" w:rsidP="00A4168E">
      <w:pPr>
        <w:ind w:firstLine="708"/>
        <w:jc w:val="both"/>
        <w:rPr>
          <w:rFonts w:ascii="Cambria" w:hAnsi="Cambria"/>
          <w:color w:val="000000"/>
          <w:sz w:val="22"/>
          <w:szCs w:val="22"/>
          <w:lang w:val="en-GB"/>
        </w:rPr>
      </w:pPr>
    </w:p>
    <w:p w14:paraId="75878751" w14:textId="77777777" w:rsidR="00A4168E" w:rsidRPr="009C1AD8" w:rsidRDefault="00A4168E" w:rsidP="00A4168E">
      <w:pPr>
        <w:ind w:firstLine="708"/>
        <w:jc w:val="both"/>
        <w:rPr>
          <w:rFonts w:ascii="Cambria" w:hAnsi="Cambria"/>
          <w:color w:val="000000"/>
          <w:sz w:val="22"/>
          <w:szCs w:val="22"/>
          <w:lang w:val="en-GB"/>
        </w:rPr>
      </w:pPr>
      <w:r w:rsidRPr="009C1AD8">
        <w:rPr>
          <w:rFonts w:ascii="Cambria" w:hAnsi="Cambria"/>
          <w:color w:val="000000"/>
          <w:sz w:val="22"/>
          <w:szCs w:val="22"/>
          <w:lang w:val="en-GB"/>
        </w:rPr>
        <w:t>On the contrary, we found only trivial differences between TA values that were measured at different sampling frequencies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during the three controlled tasks (Table 2). The high to perfect</w:t>
      </w:r>
      <w:r w:rsidRPr="009C1AD8">
        <w:rPr>
          <w:rFonts w:ascii="Cambria" w:hAnsi="Cambria"/>
          <w:i/>
          <w:color w:val="000000"/>
          <w:sz w:val="22"/>
          <w:szCs w:val="22"/>
          <w:lang w:val="en-GB"/>
        </w:rPr>
        <w:t xml:space="preserve"> </w:t>
      </w:r>
      <w:r w:rsidRPr="009C1AD8">
        <w:rPr>
          <w:rFonts w:ascii="Cambria" w:hAnsi="Cambria"/>
          <w:color w:val="000000"/>
          <w:sz w:val="22"/>
          <w:szCs w:val="22"/>
          <w:lang w:val="en-GB"/>
        </w:rPr>
        <w:t xml:space="preserve">ICC values and linear association suggested that the addition of just 1 Hz is sufficient to accurately measure TA in these types of tasks. </w:t>
      </w:r>
      <w:bookmarkStart w:id="22" w:name="_Hlk42723778"/>
      <w:r w:rsidRPr="009C1AD8">
        <w:rPr>
          <w:rFonts w:ascii="Cambria" w:hAnsi="Cambria"/>
          <w:color w:val="000000"/>
          <w:sz w:val="22"/>
          <w:szCs w:val="22"/>
          <w:lang w:val="en-GB"/>
        </w:rPr>
        <w:t xml:space="preserve">The structural traits and training tasks of each team sport considerably affect the magnitude of TA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{"citationID":"a1al4hq6g9m","properties":{"formattedCitation":"(Clemente et\\uc0\\u160{}al., 2013; W. Frencken et\\uc0\\u160{}al., 2011; Timmerman et\\uc0\\u160{}al., 2017)","plainCitation":"(Clemente et al., 2013; W. Frencken et al., 2011; Timmerman et al., 2017)","dontUpdate":true,"noteIndex":0},"citationItems":[{"id":4135,"uris":["http://zotero.org/groups/2252673/items/7JFYZQNH",["http://zotero.org/groups/2252673/items/7JFYZQNH"]],"itemData":{"id":4135,"type":"article-journal","abstract":"The aim of this study was to inspect the influence of each half of match and the ball possession status on the players’ spatio-temporal relationships. Three official matches of a professional football team were analysed. From the players' locations were collected the team’s wcentroid, wstretch index, surface area and effective area of play at 9218 play instants. The results suggested that the values of teams’ dispersion and average position on the field decreases during the 2nd half of the match. In sum, this study showed that the half of match and the ball possession status influenced players’ spatio-temporal relationships, in a way that significantly contributes to the collective understanding of football teams.","container-title":"International Journal of Performance Analysis in Sport","DOI":"10.1080/24748668.2013.11868680","ISSN":"2474-8668, 1474-8185","issue":"3","language":"en","page":"678-689","source":"Crossref","title":"Measuring Collective Behaviour in Football Teams: Inspecting the impact of each half of the match on ball possession","title-short":"Measuring Collective Behaviour in Football Teams","volume":"13","author":[{"family":"Clemente","given":"M. Filipe"},{"family":"Couceiro","given":"S. Micael"},{"family":"Martins","given":"Fernando M. L."},{"family":"Mendes","given":"Rui"},{"family":"Figueiredo","given":"António J."}],"issued":{"date-parts":[["2013",12]]}}},{"id":3990,"uris":["http://zotero.org/groups/2252673/items/5V7L59VY",["http://zotero.org/groups/2252673/items/5V7L59VY"]],"itemData":{"id":3990,"type":"article-journal","abstract":"There is a need for a collective variable that captures the dynamics of team sports like soccer at match level. The centroid positions and surface areas of two soccer teams potentially describe the coordinated flow of attacking and defending in small-sided soccer games at team level. The aim of the present study was to identify an overall game pattern by establishing whether the proposed variables were linearly related between teams over the course of the game. In addition, we tried to identify patterns in the build-up of goals. A positive linear relation and a negative linear relation were hypothesized for the centroid positions and surface areas respectively. Finally, we hypothesized that deviations from these patterns are present in the build-up of goals. Ten young male elite soccer players (mean age 17.3, s00.7) played three small-sided soccer games (4-a-side) of 8 minutes as part of their regular training routine. An innovative player tracking system, local position measurement (LPM), was used for obtaining player positions at 45 Hz per player. Pearson correlation coefficients were calculated to investigate the proposed linear relation of the key variables. Correlation coefficients indicate a strong positive linear relation during a whole game for the centroid position in all three games, with the strongest relation for the forwardbackward direction (r  0.94). For 10 out of 19 goals a crossing of the centroids in this direction can be seen. No negative linear relation was found for surface area ((0.01Br B0.07). From this study, we concluded that over the course of a whole small-sided game, the forward-backward motion of the centroids is most strongly linearly related. Furthermore, goals show a specific pattern in the forward-backward motion of the centroid. Therefore, surface area and particularly centroid position may provide a sound basis for a collective variable that captures the dynamics of attacking and defending in soccer at team level. Future research should develop these ideas further.","container-title":"European Journal of Sport Science","DOI":"10.1080/17461391.2010.499967","ISSN":"1746-1391, 1536-7290","issue":"4","language":"en","page":"215-223","source":"Crossref","title":"Oscillations of centroid position and surface area of soccer teams in small-sided games","volume":"11","author":[{"family":"Frencken","given":"Wouter"},{"family":"Lemmink","given":"Koen"},{"family":"Delleman","given":"Nico"},{"family":"Visscher","given":"Chris"}],"issued":{"date-parts":[["2011",7]]}}},{"id":4165,"uris":["http://zotero.org/groups/2252673/items/LNH8HHK4",["http://zotero.org/groups/2252673/items/LNH8HHK4"]],"itemData":{"id":4165,"type":"article-journal","abstract":"The purpose of this study was to examine the influence of manipulating game constraints on match performance in youth field hockey. A total of 25 participants aged 10.6–14.6 years old played four different 25-min games where density (228 m2 or 158 m2 per player) and/or number of players (11 per side or 8 per side) was manipulated. Match performance was determined by using notational analysis and physical demands were determined by using GPS analyses. Manipulating the number of players led to an increase in a successful passes (þ2.68 passes), skilled actions (þ3.73 skilled actions) and successful actions (þ3.77 successful actions) performed per player and also created a more advantageous environment to enhance decision making. Increasing the density led to a decrease in unsuccessful dribbles (À0.59 unsuccessful dribbles) played by children and an increase in high intensity running (þ38 m) and sprinting (þ21.2 m). The findings of this study provide an insight into the effect of manipulating task constraints in skilled junior field hockey and the findings highlight that all types of constraints influence emergent performance in their unique way and that coaches should consider these interactions to promote specific playing behaviour.","container-title":"International Journal of Sports Science &amp; Coaching","DOI":"10.1177/1747954117727659","ISSN":"1747-9541, 2048-397X","issue":"5","language":"en","page":"588-594","source":"Crossref","title":"The effect of manipulating task constraints on game performance in youth field hockey","volume":"12","author":[{"family":"Timmerman","given":"Ewout A"},{"family":"Farrow","given":"Damian"},{"family":"Savelsbergh","given":"Geert JP"}],"issued":{"date-parts":[["2017",10]]}}}],"schema":"https://github.com/citation-style-language/schema/raw/master/csl-citation.json"}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color w:val="000000"/>
          <w:sz w:val="22"/>
          <w:szCs w:val="22"/>
        </w:rPr>
        <w:t>(Clemente et al., 2013; Frencken et al., 2011; Timmerman et al., 2017)</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and the time to change </w:t>
      </w:r>
      <w:r w:rsidRPr="009C1AD8">
        <w:rPr>
          <w:rFonts w:ascii="Cambria" w:eastAsia="Palemonas" w:hAnsi="Cambria"/>
          <w:color w:val="000000"/>
          <w:sz w:val="22"/>
          <w:szCs w:val="22"/>
          <w:lang w:val="en-GB" w:eastAsia="es-ES"/>
        </w:rPr>
        <w:t>substantially</w:t>
      </w:r>
      <w:r w:rsidRPr="009C1AD8">
        <w:rPr>
          <w:rFonts w:ascii="Cambria" w:hAnsi="Cambria"/>
          <w:color w:val="000000"/>
          <w:sz w:val="22"/>
          <w:szCs w:val="22"/>
          <w:lang w:val="en-GB"/>
        </w:rPr>
        <w:t xml:space="preserve">. </w:t>
      </w:r>
      <w:bookmarkEnd w:id="22"/>
      <w:r w:rsidRPr="009C1AD8">
        <w:rPr>
          <w:rFonts w:ascii="Cambria" w:hAnsi="Cambria"/>
          <w:color w:val="000000"/>
          <w:sz w:val="22"/>
          <w:szCs w:val="22"/>
          <w:lang w:val="en-GB"/>
        </w:rPr>
        <w:t xml:space="preserve">Therefore, in further studies, the impact of the frequencies on TA values should be expanded to several team sports and training drills. If the results of these future studies were similar, less data would be helpful in the practical setting where a rapid evaluation of training/competition loads is necessary to assess performance and inform exercise prescription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{"citationID":"VbD0BQsk","properties":{"formattedCitation":"(Malone et al., 2017)","plainCitation":"(Malone et al., 2017)","noteIndex":0},"citationItems":[{"id":3720,"uris":["http://zotero.org/groups/2252673/items/XJ79RVP9",["http://zotero.org/groups/2252673/items/XJ79RVP9"]],"itemData":{"id":3720,"type":"article-journal","abstract":"Athlete-tracking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(Malone et al., 2017)</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w:t>
      </w:r>
    </w:p>
    <w:p w14:paraId="6B5F130D" w14:textId="77777777" w:rsidR="00A4168E" w:rsidRPr="009C1AD8" w:rsidRDefault="00A4168E" w:rsidP="00A4168E">
      <w:pPr>
        <w:ind w:firstLine="708"/>
        <w:jc w:val="both"/>
        <w:rPr>
          <w:rFonts w:ascii="Cambria" w:hAnsi="Cambria"/>
          <w:color w:val="000000"/>
          <w:sz w:val="22"/>
          <w:szCs w:val="22"/>
          <w:lang w:val="en-GB"/>
        </w:rPr>
      </w:pPr>
    </w:p>
    <w:p w14:paraId="396AD7D4" w14:textId="77777777" w:rsidR="00A4168E" w:rsidRPr="009C1AD8" w:rsidRDefault="00A4168E" w:rsidP="00A4168E">
      <w:pPr>
        <w:ind w:firstLine="708"/>
        <w:jc w:val="both"/>
        <w:rPr>
          <w:rFonts w:ascii="Cambria" w:hAnsi="Cambria"/>
          <w:color w:val="000000"/>
          <w:sz w:val="22"/>
          <w:szCs w:val="22"/>
          <w:lang w:val="en-GB"/>
        </w:rPr>
      </w:pPr>
      <w:r w:rsidRPr="009C1AD8">
        <w:rPr>
          <w:rFonts w:ascii="Cambria" w:hAnsi="Cambria"/>
          <w:color w:val="000000"/>
          <w:sz w:val="22"/>
          <w:szCs w:val="22"/>
        </w:rPr>
        <w:t xml:space="preserve">Positional data for collective analyses has become in an important topic in team sports analysis </w:t>
      </w:r>
      <w:r w:rsidRPr="009C1AD8">
        <w:rPr>
          <w:rFonts w:ascii="Cambria" w:hAnsi="Cambria"/>
          <w:color w:val="000000"/>
          <w:sz w:val="22"/>
          <w:szCs w:val="22"/>
        </w:rPr>
        <w:fldChar w:fldCharType="begin"/>
      </w:r>
      <w:r w:rsidRPr="009C1AD8">
        <w:rPr>
          <w:rFonts w:ascii="Cambria" w:hAnsi="Cambria"/>
          <w:color w:val="000000"/>
          <w:sz w:val="22"/>
          <w:szCs w:val="22"/>
        </w:rPr>
        <w:instrText xml:space="preserve"> ADDIN ZOTERO_ITEM CSL_CITATION {"citationID":"aut6vn536m","properties":{"formattedCitation":"(Low, B et\\uc0\\u160{}al., 2020; Rico-Gonz\\uc0\\u225{}lez, Pino-Ortega, et\\uc0\\u160{}al., 2020)","plainCitation":"(Low, B et al., 2020; Rico-González, Pino-Ortega, et al., 2020)","dontUpdate":true,"noteIndex":0},"citationItems":[{"id":4469,"uris":["http://zotero.org/groups/2252673/items/ZVINXG7X",["http://zotero.org/groups/2252673/items/ZVINXG7X"]],"itemData":{"id":4469,"type":"article-journal","abstract":"Background  Performance analysis research in association football has recently cusped a paradigmatic shift in the way tactical behaviours are studied. Based on insights from system complexity research, a growing number of studies now analyse tactical behaviours in football based on the collective movements of team players.\nObjective  The aim of this systematic review is to provide a summary of empirical research on collective tactical behaviours in football, with a particular focus on organising the methods used and their key findings.\nMethods  A systematic search of relevant English-language articles was performed on one database (Web of Science Core Collection) and one search engine (PubMed), based on PRISMA (Preferred Reporting Items for Systematic Reviews and Meta-analyses) guidelines. The keywords ‘football’ and ‘soccer’ were each paired with all possible combinations of the following keywords: ‘collective movement behaviour’, ‘collective behaviour’, ‘tactical behaviour’, ‘interpersonal coordination’, ‘space’, ‘Voronoi’, ‘synchronisation’, ‘tactical analysis’, ‘constraints’, ‘ecological dynamics’, and ‘dynamic positioning’. Empirical studies that were related to tactical analyses of footballers’ positional data were sought for inclusion and analysis.\nResults  Full-text articles of 77 studies were reviewed. A total of 27 tactical variables were identified, which were subsequently organised into 6 categories. In addition to conventional methods of linear analysis, 11 methods of nonlinear analysis were also used, which can be organised into measures of predictability (4 methods) and synchronisation (7 methods). The key findings of the reviewed studies were organised into two themes: levels of analysis, and levels of expertise.\nConclusions  Some trends in key findings revealed the following collective behaviours as possible indicators of better tactical expertise: higher movement regularity; wider dispersion in youth players and shorter readjustment delay between teammates and opponents. Characteristic behaviours were also observed as an effect of playing position, numerical inequality, and task constraints. Future research should focus on contextualising positional data, incorporating the needs of coaching staff, to better bridge the research-practice gap.","journalAbbreviation":"Sports Med","language":"en","page":"343-385","source":"Zotero","title":"A Systematic Review of Collective Tactical Behaviours in Football Using Positional Data","volume":"50","author":[{"literal":"Low, B"},{"literal":"Coutinho, D"},{"family":"Gonçalves, B","given":""},{"literal":"Rein, R"},{"literal":"Memmert, D"},{"literal":"Sampaio, J"}],"issued":{"date-parts":[["2020"]]}}},{"id":4465,"uris":["http://zotero.org/groups/2252673/items/B5D46Y6W",["http://zotero.org/groups/2252673/items/B5D46Y6W"]],"itemData":{"id":4465,"type":"article-journal","abstract":"The aim of the study was the identiﬁcation, computational examination, critical assessment and future considerations of distance variables to assess collective tactical behaviour in team invasion sports by positional data. A total of 3973 documents were initially retrieved. Finally, 72 articles met the inclusion criteria, but only 26 suggested original tactical variables based on the distance variables. The distance variables can be classiﬁed into player–player, player–space, player–ball, and Geometrical Centre (GC)–GC /player/space/goal. In addition, several nonlinear techniques have been used to analyse the synchronisation and predictability of the distance variables in team invasion sports. Player–opponent distance is of special interest in those sports in which man-marking is commonly used, and in the micro-structure close to scoring situations in all sports. In addition, player–player distances are used to measure the length and the width of the team and player–GC distance to assess the dispersion of the team. Player–space distances have been measured to assess the distance of the player/team-line to relevant areas of the playing space. Several techniques have been applied to analyse the synchronisation (i.e., Hilbert transformation and cluster analyses) and the complexity and regularity or predictability (i.e., approximate entropies, sample entropy, cross-sample entropy and average mutual information) of the distance variables in team invasion sports, revealing the lack of consensus. Although the distance variables may be interesting tactical variables when considered in isolation, it would be enriching to analyse the relationship among these variables.","container-title":"Int. J. Environ. Res. Public Health","language":"en","page":"14","source":"Zotero","title":"Identification, Computational Examination, Critical Assessment and Future Considerations of Distance Variables to Assess Collective Tactical Behaviour in Team Invasion Sports by Positional Data: A Systematic Review","author":[{"family":"Rico-González","given":"Markel"},{"family":"Pino-Ortega","given":"José"},{"family":"Nakamura","given":"Fabio Y"},{"family":"Moura","given":"Felipe Arruda"},{"family":"Arcos","given":"Asier Los"}],"issued":{"date-parts":[["2020"]]}}}],"schema":"https://github.com/citation-style-language/schema/raw/master/csl-citation.json"} </w:instrText>
      </w:r>
      <w:r w:rsidRPr="009C1AD8">
        <w:rPr>
          <w:rFonts w:ascii="Cambria" w:hAnsi="Cambria"/>
          <w:color w:val="000000"/>
          <w:sz w:val="22"/>
          <w:szCs w:val="22"/>
        </w:rPr>
        <w:fldChar w:fldCharType="separate"/>
      </w:r>
      <w:r w:rsidRPr="009C1AD8">
        <w:rPr>
          <w:rFonts w:ascii="Cambria" w:hAnsi="Cambria"/>
          <w:color w:val="000000"/>
          <w:sz w:val="22"/>
          <w:szCs w:val="22"/>
        </w:rPr>
        <w:t>(Low et al., 2020; Rico-González, Pino-Ortega, et al., 2020)</w:t>
      </w:r>
      <w:r w:rsidRPr="009C1AD8">
        <w:rPr>
          <w:rFonts w:ascii="Cambria" w:hAnsi="Cambria"/>
          <w:color w:val="000000"/>
          <w:sz w:val="22"/>
          <w:szCs w:val="22"/>
        </w:rPr>
        <w:fldChar w:fldCharType="end"/>
      </w:r>
      <w:r w:rsidRPr="009C1AD8">
        <w:rPr>
          <w:rFonts w:ascii="Cambria" w:hAnsi="Cambria"/>
          <w:color w:val="000000"/>
          <w:sz w:val="22"/>
          <w:szCs w:val="22"/>
        </w:rPr>
        <w:t xml:space="preserve">. </w:t>
      </w:r>
      <w:r w:rsidRPr="009C1AD8">
        <w:rPr>
          <w:rFonts w:ascii="Cambria" w:hAnsi="Cambria"/>
          <w:color w:val="000000"/>
          <w:sz w:val="22"/>
          <w:szCs w:val="22"/>
          <w:lang w:val="en-GB"/>
        </w:rPr>
        <w:t xml:space="preserve">Usually, researchers apply the same sampling frequency to measure all tactical variables in their studies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{"citationID":"a1jklakc5ep","properties":{"formattedCitation":"(Rico-Gonz\\uc0\\u225{}lez, Los Arcos, et al., 2020)","plainCitation":"(Rico-González, Los Arcos, et al., 2020)","noteIndex":0},"citationItems":[{"id":4521,"uris":["http://zotero.org/groups/2252673/items/AN9T2574",["http://zotero.org/groups/2252673/items/AN9T2574"]],"itemData":{"id":4521,"type":"article-journal","abstract":"The aim of the study was to assess the use of diﬀerent positioning systems and sampling frequencies to measure spatial-positioning variables in team sports. Articles were selected when the sampling frequency was detailed. 2,194 articles were identiﬁed and 59 works were selected for the systematic review. The sampling frequency used to measure tactical behaviour diﬀered considerably among studies. For Global Navigation Satellite System, the sampling frequency ranged from 5- to 15 Hz for raw data, the most commonly used sampling frequency being 5 Hz. For Optic-based tracking systems, the sampling frequency ranged from 10- to 30 Hz. For Local Position System, the sampling frequency ranged from 45- to 100 Hz, the most commonly used sampling frequency being 42 Hz and 57.7 Hz. There is no common criterion in the sampling frequency used to measure each tactical variable. Further studies should investigate the impact of the sampling frequency on the measurement of the tactical variables.","container-title":"Research in Sports Medicine","DOI":"10.1080/15438627.2019.1660879","ISSN":"1543-8627, 1543-8635","issue":"2","journalAbbreviation":"Research in Sports Medicine","language":"en","page":"279-292","source":"DOI.org (Crossref)","title":"The use of technology and sampling frequency to measure variables of tactical positioning in team sports: a systematic review","title-short":"The use of technology and sampling frequency to measure variables of tactical positioning in team sports","volume":"28","author":[{"family":"Rico-González","given":"Markel"},{"family":"Los Arcos","given":"Asier"},{"family":"Nakamura","given":"Fabio Yuzo"},{"family":"Moura","given":"Felipe Arruda"},{"family":"Pino-Ortega","given":"José"}],"issued":{"date-parts":[["2020"]]}}}],"schema":"https://github.com/citation-style-language/schema/raw/master/csl-citation.json"}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(Rico-González, Los Arcos,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xml:space="preserve">. </w:t>
      </w:r>
      <w:r w:rsidRPr="009C1AD8">
        <w:rPr>
          <w:rFonts w:ascii="Cambria" w:hAnsi="Cambria"/>
          <w:color w:val="000000"/>
          <w:sz w:val="22"/>
          <w:szCs w:val="22"/>
        </w:rPr>
        <w:t xml:space="preserve">Moreover, </w:t>
      </w:r>
      <w:r w:rsidRPr="009C1AD8">
        <w:rPr>
          <w:rFonts w:ascii="Cambria" w:hAnsi="Cambria"/>
          <w:color w:val="000000"/>
          <w:sz w:val="22"/>
          <w:szCs w:val="22"/>
          <w:lang w:val="en-GB"/>
        </w:rPr>
        <w:t xml:space="preserve">coaches and technical staffs should not consider the same sampling frequencies to assess all tactical variables </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{"citationID":"a1ekqov8bbj","properties":{"formattedCitation":"(Rico-Gonz\\uc0\\u225{}lez, Arcos, et al., 2020)","plainCitation":"(Rico-González, Arcos, et al., 2020)","noteIndex":0},"citationItems":[{"id":4344,"uris":["http://zotero.org/groups/2252673/items/99K66XHG",["http://zotero.org/groups/2252673/items/99K66XHG"]],"itemData":{"id":4344,"type":"article-journal","abstract":"Electronic performance and tracking systems (EPTS) and microelectromechanical systems (MEMS) allow the measurement of training load (TL) and collective behavior in team sports so that match performance can be optimized. Despite the frequent use of radio-frequency (RF) technology (i.e., global positioning navigation systems (GNSS/global positioning systems (GPS)) and, local position systems (LPS)) and MEMS in sports research, there is no protocol that must be followed, nor are there any set guidelines for evaluating the quality of the data collection process in studies. Thus, this study aims to suggest a survey based on previously used protocols to evaluate the quality of data recorded by RF technology and MEMS in team sports. A quality check sheet was proposed considering 13 general criteria items. Four additional items for GNSS/GPS, eight additional items for LPS, and ﬁve items for MEMS were suggested. This information for evaluating the quality of the data collection process should be reported in the methods sections of future studies.","container-title":"Sensors","language":"en","page":"16","source":"Zotero","title":"A Survey to Assess the Quality of the Data Obtained by Radio-Frequency Technologies and Microelectromechanical Systems to Measure External Workload and Collective Behavior Variables in Team Sports","author":[{"family":"Rico-González","given":"Markel"},{"family":"Arcos","given":"Asier Los"},{"family":"Rojas-Valverde","given":"Daniel"},{"family":"Clemente","given":"Filipe M"},{"family":"Pino-Ortega","given":"José"}],"issued":{"date-parts":[["2020"]]}}}],"schema":"https://github.com/citation-style-language/schema/raw/master/csl-citation.json"}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(Rico-González, Arcos, et al., 2020)</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 This can result in a loss of relevant data for some tactical variables (</w:t>
      </w:r>
      <w:proofErr w:type="gramStart"/>
      <w:r w:rsidRPr="009C1AD8">
        <w:rPr>
          <w:rFonts w:ascii="Cambria" w:hAnsi="Cambria"/>
          <w:color w:val="000000"/>
          <w:sz w:val="22"/>
          <w:szCs w:val="22"/>
          <w:lang w:val="en-GB"/>
        </w:rPr>
        <w:t>e.g.</w:t>
      </w:r>
      <w:proofErr w:type="gramEnd"/>
      <w:r w:rsidRPr="009C1AD8">
        <w:rPr>
          <w:rFonts w:ascii="Cambria" w:hAnsi="Cambria"/>
          <w:color w:val="000000"/>
          <w:sz w:val="22"/>
          <w:szCs w:val="22"/>
          <w:lang w:val="en-GB"/>
        </w:rPr>
        <w:t xml:space="preserve"> CCP in this study) but, simultaneously, a superfluous amount of data to measure others (e.g. TA). In case of CCP, one would lose relevant data and in the TA case, the excessive data could delay the analysis of the report resulting in difficultly to respond to a complex calendar, which requires rapid performance analysis.</w:t>
      </w:r>
      <w:r w:rsidRPr="009C1AD8">
        <w:rPr>
          <w:rFonts w:ascii="Cambria" w:hAnsi="Cambria"/>
          <w:color w:val="000000"/>
          <w:sz w:val="22"/>
          <w:szCs w:val="22"/>
          <w:lang w:val="en-GB"/>
        </w:rPr>
        <w:fldChar w:fldCharType="begin"/>
      </w:r>
      <w:r w:rsidRPr="009C1AD8">
        <w:rPr>
          <w:rFonts w:ascii="Cambria" w:hAnsi="Cambria"/>
          <w:color w:val="000000"/>
          <w:sz w:val="22"/>
          <w:szCs w:val="22"/>
          <w:lang w:val="en-GB"/>
        </w:rPr>
        <w:instrText xml:space="preserve"> ADDIN ZOTERO_ITEM CSL_CITATION {"citationID":"mUXfjaDk","properties":{"formattedCitation":"(Malone et al., 2017)","plainCitation":"(Malone et al., 2017)","noteIndex":0},"citationItems":[{"id":3720,"uris":["http://zotero.org/groups/2252673/items/XJ79RVP9",["http://zotero.org/groups/2252673/items/XJ79RVP9"]],"itemData":{"id":3720,"type":"article-journal","abstract":"Athlete-tracking devices that include global positioning system (GPS) and microelectrical mechanical system (MEMS) components are now commonplace in sport research and practice. These devices provide large amounts of data that are used to inform decision making on athlete training and performance. However, the data obtained from these devices are often provided without clear explanation of how these metrics are obtained. At present, there is no clear consensus regarding how these data should be handled and reported in a sport context. Therefore, the aim of this review was to examine the factors that affect the data produced by these athlete-tracking devices and to provide guidelines for collecting, processing, and reporting of data. Many factors including device sampling rate, positioning and fitting of devices, satellite signal, and data-filtering methods can affect the measures obtained from GPS and MEMS devices. Therefore researchers are encouraged to report device brand/model, sampling frequency, number of satellites, horizontal dilution of precision, and software/firmware versions in any published research. In addition, details of inclusion/exclusion criteria for data obtained from these devices are also recommended. Considerations for the application of speed zones to evaluate the magnitude and distribution of different locomotor activities recorded by GPS are also presented, alongside recommendations for both industry practice and future research directions. Through a standard approach to data collection and procedure reporting, researchers and practitioners will be able to make more confident comparisons from their data, which will improve the understanding and impact these devices can have on athlete performance.","container-title":"International Journal of Sports Physiology and Performance","DOI":"10.1123/ijspp.2016-0236","ISSN":"1555-0265, 1555-0273","issue":"Suppl 2","language":"en","page":"18-26","source":"Crossref","title":"Unpacking the Black Box: Applications and Considerations for Using GPS Devices in Sport","title-short":"Unpacking the Black Box","volume":"12","author":[{"family":"Malone","given":"James J."},{"family":"Lovell","given":"Ric"},{"family":"Varley","given":"Matthew C."},{"family":"Coutts","given":"Aaron J."}],"issued":{"date-parts":[["2017",4]]}}}],"schema":"https://github.com/citation-style-language/schema/raw/master/csl-citation.json"} </w:instrText>
      </w:r>
      <w:r w:rsidRPr="009C1AD8">
        <w:rPr>
          <w:rFonts w:ascii="Cambria" w:hAnsi="Cambria"/>
          <w:color w:val="000000"/>
          <w:sz w:val="22"/>
          <w:szCs w:val="22"/>
          <w:lang w:val="en-GB"/>
        </w:rPr>
        <w:fldChar w:fldCharType="separate"/>
      </w:r>
      <w:r w:rsidRPr="009C1AD8">
        <w:rPr>
          <w:rFonts w:ascii="Cambria" w:hAnsi="Cambria"/>
          <w:sz w:val="22"/>
        </w:rPr>
        <w:t>(Malone et al., 2017)</w:t>
      </w:r>
      <w:r w:rsidRPr="009C1AD8">
        <w:rPr>
          <w:rFonts w:ascii="Cambria" w:hAnsi="Cambria"/>
          <w:color w:val="000000"/>
          <w:sz w:val="22"/>
          <w:szCs w:val="22"/>
          <w:lang w:val="en-GB"/>
        </w:rPr>
        <w:fldChar w:fldCharType="end"/>
      </w:r>
      <w:r w:rsidRPr="009C1AD8">
        <w:rPr>
          <w:rFonts w:ascii="Cambria" w:hAnsi="Cambria"/>
          <w:color w:val="000000"/>
          <w:sz w:val="22"/>
          <w:szCs w:val="22"/>
          <w:lang w:val="en-GB"/>
        </w:rPr>
        <w:t>.</w:t>
      </w:r>
    </w:p>
    <w:p w14:paraId="52E6AE77" w14:textId="77777777" w:rsidR="00A4168E" w:rsidRPr="009C1AD8" w:rsidRDefault="00A4168E">
      <w:pPr>
        <w:jc w:val="both"/>
        <w:rPr>
          <w:rFonts w:ascii="Cambria" w:eastAsia="Cambria" w:hAnsi="Cambria" w:cs="Cambria"/>
          <w:i/>
          <w:sz w:val="22"/>
          <w:szCs w:val="22"/>
          <w:lang w:val="en-GB"/>
        </w:rPr>
      </w:pPr>
    </w:p>
    <w:p w14:paraId="76BFEBE3" w14:textId="77777777" w:rsidR="00BD3F0E" w:rsidRPr="009C1AD8" w:rsidRDefault="00BD3F0E">
      <w:pPr>
        <w:jc w:val="both"/>
        <w:rPr>
          <w:rFonts w:ascii="Cambria" w:eastAsia="Cambria" w:hAnsi="Cambria" w:cs="Cambria"/>
          <w:sz w:val="22"/>
          <w:szCs w:val="22"/>
        </w:rPr>
      </w:pPr>
    </w:p>
    <w:p w14:paraId="3BC94971" w14:textId="77777777" w:rsidR="00BD3F0E" w:rsidRPr="009C1AD8" w:rsidRDefault="00A4168E">
      <w:pPr>
        <w:spacing w:after="120"/>
        <w:jc w:val="center"/>
        <w:rPr>
          <w:rFonts w:ascii="Cambria" w:eastAsia="Cambria" w:hAnsi="Cambria" w:cs="Cambria"/>
          <w:b/>
          <w:color w:val="000000"/>
          <w:sz w:val="22"/>
          <w:szCs w:val="22"/>
        </w:rPr>
      </w:pPr>
      <w:r w:rsidRPr="009C1AD8">
        <w:rPr>
          <w:rFonts w:ascii="Cambria" w:eastAsia="Cambria" w:hAnsi="Cambria" w:cs="Cambria"/>
          <w:b/>
          <w:color w:val="000000"/>
          <w:sz w:val="22"/>
          <w:szCs w:val="22"/>
        </w:rPr>
        <w:t>CONCLUSION</w:t>
      </w:r>
    </w:p>
    <w:p w14:paraId="34135622" w14:textId="77777777" w:rsidR="00A4168E" w:rsidRPr="009C1AD8" w:rsidRDefault="00A4168E" w:rsidP="00A4168E">
      <w:pPr>
        <w:pStyle w:val="HTMLPreformatted"/>
        <w:shd w:val="clear" w:color="auto" w:fill="FFFFFF"/>
        <w:jc w:val="both"/>
        <w:rPr>
          <w:rFonts w:ascii="Cambria" w:hAnsi="Cambria"/>
          <w:color w:val="000000"/>
          <w:sz w:val="22"/>
          <w:szCs w:val="22"/>
          <w:lang w:val="en-GB"/>
        </w:rPr>
      </w:pPr>
      <w:r w:rsidRPr="009C1AD8">
        <w:rPr>
          <w:rFonts w:ascii="Cambria" w:hAnsi="Cambria"/>
          <w:color w:val="000000"/>
          <w:sz w:val="22"/>
          <w:szCs w:val="22"/>
          <w:lang w:val="en-GB"/>
        </w:rPr>
        <w:tab/>
        <w:t>The sampling frequency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1 Hz, 2 Hz, 4 Hz and 10 Hz) does not affect the measurement of total area during tactical behaviour analysis but does significantly affect the change in centroid position measurement. Thus, despite the fact that more studies are necessary, we recommend the use of different sampling frequency to measure each tactical variable (</w:t>
      </w:r>
      <w:proofErr w:type="gramStart"/>
      <w:r w:rsidRPr="009C1AD8">
        <w:rPr>
          <w:rFonts w:ascii="Cambria" w:hAnsi="Cambria"/>
          <w:color w:val="000000"/>
          <w:sz w:val="22"/>
          <w:szCs w:val="22"/>
          <w:lang w:val="en-GB"/>
        </w:rPr>
        <w:t>i.e.</w:t>
      </w:r>
      <w:proofErr w:type="gramEnd"/>
      <w:r w:rsidRPr="009C1AD8">
        <w:rPr>
          <w:rFonts w:ascii="Cambria" w:hAnsi="Cambria"/>
          <w:color w:val="000000"/>
          <w:sz w:val="22"/>
          <w:szCs w:val="22"/>
          <w:lang w:val="en-GB"/>
        </w:rPr>
        <w:t xml:space="preserve"> total area and distance of centroid) in team sports.</w:t>
      </w:r>
      <w:bookmarkStart w:id="23" w:name="_Hlk42723790"/>
      <w:r w:rsidRPr="009C1AD8">
        <w:rPr>
          <w:rFonts w:ascii="Cambria" w:hAnsi="Cambria"/>
          <w:color w:val="000000"/>
          <w:sz w:val="22"/>
          <w:szCs w:val="22"/>
          <w:lang w:val="en-GB"/>
        </w:rPr>
        <w:t xml:space="preserve"> </w:t>
      </w:r>
      <w:r w:rsidRPr="009C1AD8">
        <w:rPr>
          <w:rFonts w:ascii="Cambria" w:hAnsi="Cambria"/>
          <w:color w:val="000000"/>
          <w:sz w:val="22"/>
          <w:szCs w:val="22"/>
          <w:lang w:val="en-GB" w:eastAsia="es-ES"/>
        </w:rPr>
        <w:t xml:space="preserve">The consideration of 1 Hz is enough to accurately measure total area, while 10 Hz is suggested for the change in centroid </w:t>
      </w:r>
      <w:commentRangeStart w:id="24"/>
      <w:r w:rsidRPr="009C1AD8">
        <w:rPr>
          <w:rFonts w:ascii="Cambria" w:hAnsi="Cambria"/>
          <w:color w:val="000000"/>
          <w:sz w:val="22"/>
          <w:szCs w:val="22"/>
          <w:lang w:val="en-GB" w:eastAsia="es-ES"/>
        </w:rPr>
        <w:t>position</w:t>
      </w:r>
      <w:commentRangeEnd w:id="24"/>
      <w:r w:rsidR="00E6459A">
        <w:rPr>
          <w:rStyle w:val="CommentReference"/>
          <w:rFonts w:ascii="Times New Roman" w:hAnsi="Times New Roman"/>
          <w:lang w:val="en-US" w:eastAsia="ar-SA"/>
        </w:rPr>
        <w:commentReference w:id="24"/>
      </w:r>
      <w:r w:rsidRPr="009C1AD8">
        <w:rPr>
          <w:rFonts w:ascii="Cambria" w:hAnsi="Cambria"/>
          <w:color w:val="000000"/>
          <w:sz w:val="22"/>
          <w:szCs w:val="22"/>
          <w:lang w:val="en-GB" w:eastAsia="es-ES"/>
        </w:rPr>
        <w:t xml:space="preserve">. </w:t>
      </w:r>
    </w:p>
    <w:bookmarkEnd w:id="23"/>
    <w:p w14:paraId="64DC2746" w14:textId="77777777" w:rsidR="00A4168E" w:rsidRPr="009C1AD8" w:rsidRDefault="00A4168E">
      <w:pPr>
        <w:spacing w:before="240" w:after="120"/>
        <w:jc w:val="center"/>
        <w:rPr>
          <w:rFonts w:ascii="Cambria" w:eastAsia="Cambria" w:hAnsi="Cambria" w:cs="Cambria"/>
          <w:sz w:val="22"/>
          <w:szCs w:val="22"/>
          <w:lang w:val="en-GB"/>
        </w:rPr>
      </w:pPr>
    </w:p>
    <w:p w14:paraId="6CDB88DC" w14:textId="77777777" w:rsidR="00BD3F0E" w:rsidRPr="009C1AD8" w:rsidRDefault="00A4168E">
      <w:pPr>
        <w:spacing w:before="240" w:after="120"/>
        <w:jc w:val="center"/>
        <w:rPr>
          <w:rFonts w:ascii="Cambria" w:eastAsia="Cambria" w:hAnsi="Cambria" w:cs="Cambria"/>
          <w:b/>
          <w:color w:val="000000"/>
          <w:sz w:val="22"/>
          <w:szCs w:val="22"/>
        </w:rPr>
      </w:pPr>
      <w:r w:rsidRPr="009C1AD8">
        <w:rPr>
          <w:rFonts w:ascii="Cambria" w:eastAsia="Cambria" w:hAnsi="Cambria" w:cs="Cambria"/>
          <w:b/>
          <w:color w:val="000000"/>
          <w:sz w:val="22"/>
          <w:szCs w:val="22"/>
        </w:rPr>
        <w:t>AKNOWLEDGMENT (IF ANY)</w:t>
      </w:r>
    </w:p>
    <w:p w14:paraId="3D1E575C" w14:textId="77777777" w:rsidR="00A4168E" w:rsidRPr="009C1AD8" w:rsidRDefault="00A4168E" w:rsidP="00A4168E">
      <w:pPr>
        <w:rPr>
          <w:rFonts w:ascii="Cambria" w:eastAsia="Cambria" w:hAnsi="Cambria" w:cs="Cambria"/>
          <w:i/>
          <w:color w:val="000000"/>
          <w:sz w:val="22"/>
          <w:szCs w:val="22"/>
          <w:lang w:val="en-GB"/>
        </w:rPr>
      </w:pPr>
      <w:r w:rsidRPr="009C1AD8">
        <w:rPr>
          <w:rFonts w:ascii="Cambria" w:eastAsia="Cambria" w:hAnsi="Cambria" w:cs="Cambria"/>
          <w:i/>
          <w:color w:val="000000"/>
          <w:sz w:val="22"/>
          <w:szCs w:val="22"/>
          <w:lang w:val="en-GB"/>
        </w:rPr>
        <w:lastRenderedPageBreak/>
        <w:t xml:space="preserve">Declaration of Conflicting Interest </w:t>
      </w:r>
    </w:p>
    <w:p w14:paraId="500A2C94" w14:textId="77777777" w:rsidR="00A4168E" w:rsidRPr="009C1AD8" w:rsidRDefault="00A4168E" w:rsidP="00A4168E">
      <w:pPr>
        <w:rPr>
          <w:rFonts w:ascii="Cambria" w:eastAsia="Cambria" w:hAnsi="Cambria" w:cs="Cambria"/>
          <w:i/>
          <w:color w:val="000000"/>
          <w:sz w:val="22"/>
          <w:szCs w:val="22"/>
          <w:lang w:val="en-GB"/>
        </w:rPr>
      </w:pPr>
    </w:p>
    <w:p w14:paraId="315D0089" w14:textId="77777777" w:rsidR="00A4168E" w:rsidRPr="009C1AD8" w:rsidRDefault="00A4168E" w:rsidP="00A4168E">
      <w:pPr>
        <w:ind w:firstLine="720"/>
        <w:rPr>
          <w:rFonts w:ascii="Cambria" w:eastAsia="Cambria" w:hAnsi="Cambria" w:cs="Cambria"/>
          <w:color w:val="000000"/>
          <w:sz w:val="22"/>
          <w:szCs w:val="22"/>
          <w:lang w:val="en-GB"/>
        </w:rPr>
      </w:pPr>
      <w:r w:rsidRPr="009C1AD8">
        <w:rPr>
          <w:rFonts w:ascii="Cambria" w:eastAsia="Cambria" w:hAnsi="Cambria" w:cs="Cambria"/>
          <w:color w:val="000000"/>
          <w:sz w:val="22"/>
          <w:szCs w:val="22"/>
          <w:lang w:val="en-GB"/>
        </w:rPr>
        <w:t xml:space="preserve">The authors declare that they have no competing financial interests. </w:t>
      </w:r>
    </w:p>
    <w:p w14:paraId="57EA4848" w14:textId="77777777" w:rsidR="00A4168E" w:rsidRPr="009C1AD8" w:rsidRDefault="00A4168E" w:rsidP="00A4168E">
      <w:pPr>
        <w:rPr>
          <w:rFonts w:ascii="Cambria" w:eastAsia="Cambria" w:hAnsi="Cambria" w:cs="Cambria"/>
          <w:color w:val="000000"/>
          <w:sz w:val="22"/>
          <w:szCs w:val="22"/>
          <w:lang w:val="en-GB"/>
        </w:rPr>
      </w:pPr>
    </w:p>
    <w:p w14:paraId="51E3DB0E" w14:textId="77777777" w:rsidR="00A4168E" w:rsidRPr="009C1AD8" w:rsidRDefault="00A4168E" w:rsidP="00A4168E">
      <w:pPr>
        <w:rPr>
          <w:rFonts w:ascii="Cambria" w:eastAsia="Cambria" w:hAnsi="Cambria" w:cs="Cambria"/>
          <w:i/>
          <w:color w:val="000000"/>
          <w:sz w:val="22"/>
          <w:szCs w:val="22"/>
          <w:lang w:val="en-GB"/>
        </w:rPr>
      </w:pPr>
      <w:r w:rsidRPr="009C1AD8">
        <w:rPr>
          <w:rFonts w:ascii="Cambria" w:eastAsia="Cambria" w:hAnsi="Cambria" w:cs="Cambria"/>
          <w:i/>
          <w:color w:val="000000"/>
          <w:sz w:val="22"/>
          <w:szCs w:val="22"/>
          <w:lang w:val="en-GB"/>
        </w:rPr>
        <w:t xml:space="preserve">Funding </w:t>
      </w:r>
    </w:p>
    <w:p w14:paraId="2D578D51" w14:textId="77777777" w:rsidR="00A4168E" w:rsidRPr="009C1AD8" w:rsidRDefault="00A4168E" w:rsidP="00A4168E">
      <w:pPr>
        <w:rPr>
          <w:rFonts w:ascii="Cambria" w:eastAsia="Cambria" w:hAnsi="Cambria" w:cs="Cambria"/>
          <w:color w:val="000000"/>
          <w:sz w:val="22"/>
          <w:szCs w:val="22"/>
          <w:lang w:val="en-GB"/>
        </w:rPr>
      </w:pPr>
    </w:p>
    <w:p w14:paraId="12D51F1D" w14:textId="77777777" w:rsidR="00BD3F0E" w:rsidRPr="009C1AD8" w:rsidRDefault="00A4168E" w:rsidP="00A4168E">
      <w:pPr>
        <w:ind w:firstLine="720"/>
        <w:rPr>
          <w:rFonts w:ascii="Cambria" w:eastAsia="Cambria" w:hAnsi="Cambria" w:cs="Cambria"/>
          <w:color w:val="000000"/>
          <w:sz w:val="22"/>
          <w:szCs w:val="22"/>
          <w:lang w:val="en-GB"/>
        </w:rPr>
      </w:pPr>
      <w:r w:rsidRPr="009C1AD8">
        <w:rPr>
          <w:rFonts w:ascii="Cambria" w:eastAsia="Cambria" w:hAnsi="Cambria" w:cs="Cambria"/>
          <w:color w:val="000000"/>
          <w:sz w:val="22"/>
          <w:szCs w:val="22"/>
          <w:lang w:val="en-GB"/>
        </w:rPr>
        <w:t>The authors received no potential support for the research, authorship and/or publication of this article.</w:t>
      </w:r>
    </w:p>
    <w:p w14:paraId="15176857" w14:textId="77777777" w:rsidR="00A4168E" w:rsidRPr="009C1AD8" w:rsidRDefault="00A4168E">
      <w:pPr>
        <w:rPr>
          <w:rFonts w:ascii="Cambria" w:eastAsia="Cambria" w:hAnsi="Cambria" w:cs="Cambria"/>
          <w:color w:val="000000"/>
          <w:sz w:val="22"/>
          <w:szCs w:val="22"/>
        </w:rPr>
      </w:pPr>
    </w:p>
    <w:p w14:paraId="3E0A8C0D" w14:textId="77777777" w:rsidR="00BD3F0E" w:rsidRPr="009C1AD8" w:rsidRDefault="00A4168E">
      <w:pPr>
        <w:spacing w:before="240" w:after="240"/>
        <w:jc w:val="center"/>
        <w:rPr>
          <w:rFonts w:ascii="Cambria" w:eastAsia="Cambria" w:hAnsi="Cambria" w:cs="Cambria"/>
          <w:b/>
          <w:color w:val="000000"/>
          <w:sz w:val="22"/>
          <w:szCs w:val="22"/>
        </w:rPr>
      </w:pPr>
      <w:commentRangeStart w:id="25"/>
      <w:r w:rsidRPr="009C1AD8">
        <w:rPr>
          <w:rFonts w:ascii="Cambria" w:eastAsia="Cambria" w:hAnsi="Cambria" w:cs="Cambria"/>
          <w:b/>
          <w:color w:val="000000"/>
          <w:sz w:val="22"/>
          <w:szCs w:val="22"/>
        </w:rPr>
        <w:t>REFERENCES</w:t>
      </w:r>
      <w:commentRangeEnd w:id="25"/>
      <w:r w:rsidR="00E6459A">
        <w:rPr>
          <w:rStyle w:val="CommentReference"/>
        </w:rPr>
        <w:commentReference w:id="25"/>
      </w:r>
    </w:p>
    <w:p w14:paraId="35AB9C46" w14:textId="77777777" w:rsidR="00BD3F0E" w:rsidRPr="009C1AD8" w:rsidRDefault="00BD3F0E">
      <w:pPr>
        <w:rPr>
          <w:rFonts w:ascii="Cambria" w:eastAsia="Cambria" w:hAnsi="Cambria" w:cs="Cambria"/>
          <w:b/>
          <w:color w:val="000000"/>
          <w:sz w:val="22"/>
          <w:szCs w:val="22"/>
        </w:rPr>
      </w:pPr>
    </w:p>
    <w:p w14:paraId="13970332" w14:textId="77777777" w:rsidR="00A4168E" w:rsidRPr="009C1AD8" w:rsidRDefault="00A4168E" w:rsidP="00A4168E">
      <w:pPr>
        <w:pStyle w:val="Bibliography"/>
        <w:spacing w:line="240" w:lineRule="auto"/>
        <w:jc w:val="both"/>
        <w:rPr>
          <w:rFonts w:ascii="Cambria" w:hAnsi="Cambria"/>
          <w:sz w:val="22"/>
        </w:rPr>
      </w:pPr>
      <w:r w:rsidRPr="009C1AD8">
        <w:rPr>
          <w:rFonts w:ascii="Cambria" w:eastAsia="Cambria" w:hAnsi="Cambria" w:cs="Cambria"/>
          <w:b/>
          <w:color w:val="000000"/>
          <w:sz w:val="22"/>
          <w:szCs w:val="22"/>
        </w:rPr>
        <w:fldChar w:fldCharType="begin"/>
      </w:r>
      <w:r w:rsidRPr="009C1AD8">
        <w:rPr>
          <w:rFonts w:ascii="Cambria" w:eastAsia="Cambria" w:hAnsi="Cambria" w:cs="Cambria"/>
          <w:b/>
          <w:color w:val="000000"/>
          <w:sz w:val="22"/>
          <w:szCs w:val="22"/>
          <w:lang w:val="es-ES"/>
        </w:rPr>
        <w:instrText xml:space="preserve"> ADDIN ZOTERO_BIBL {"uncited":[],"omitted":[],"custom":[]} CSL_BIBLIOGRAPHY </w:instrText>
      </w:r>
      <w:r w:rsidRPr="009C1AD8">
        <w:rPr>
          <w:rFonts w:ascii="Cambria" w:eastAsia="Cambria" w:hAnsi="Cambria" w:cs="Cambria"/>
          <w:b/>
          <w:color w:val="000000"/>
          <w:sz w:val="22"/>
          <w:szCs w:val="22"/>
        </w:rPr>
        <w:fldChar w:fldCharType="separate"/>
      </w:r>
      <w:r w:rsidRPr="009C1AD8">
        <w:rPr>
          <w:rFonts w:ascii="Cambria" w:hAnsi="Cambria"/>
          <w:sz w:val="22"/>
          <w:lang w:val="es-ES"/>
        </w:rPr>
        <w:t xml:space="preserve">Alarifi, A., Al-Salman, A., Alsaleh, M., Alnafessah, A., Al-Hadhrami, S., Al-Ammar, M., &amp; Al-Khalifa, H. (2016). </w:t>
      </w:r>
      <w:r w:rsidRPr="009C1AD8">
        <w:rPr>
          <w:rFonts w:ascii="Cambria" w:hAnsi="Cambria"/>
          <w:sz w:val="22"/>
        </w:rPr>
        <w:t xml:space="preserve">Ultra Wideband Indoor Positioning Technologies: Analysis and Recent Advances. </w:t>
      </w:r>
      <w:r w:rsidRPr="009C1AD8">
        <w:rPr>
          <w:rFonts w:ascii="Cambria" w:hAnsi="Cambria"/>
          <w:i/>
          <w:iCs/>
          <w:sz w:val="22"/>
        </w:rPr>
        <w:t>Sensors</w:t>
      </w:r>
      <w:r w:rsidRPr="009C1AD8">
        <w:rPr>
          <w:rFonts w:ascii="Cambria" w:hAnsi="Cambria"/>
          <w:sz w:val="22"/>
        </w:rPr>
        <w:t xml:space="preserve">, </w:t>
      </w:r>
      <w:r w:rsidRPr="009C1AD8">
        <w:rPr>
          <w:rFonts w:ascii="Cambria" w:hAnsi="Cambria"/>
          <w:i/>
          <w:iCs/>
          <w:sz w:val="22"/>
        </w:rPr>
        <w:t>16</w:t>
      </w:r>
      <w:r w:rsidRPr="009C1AD8">
        <w:rPr>
          <w:rFonts w:ascii="Cambria" w:hAnsi="Cambria"/>
          <w:sz w:val="22"/>
        </w:rPr>
        <w:t>(5), 707. https://doi.org/10.3390/s16050707</w:t>
      </w:r>
    </w:p>
    <w:p w14:paraId="23625FDF"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Araújo, D., &amp; Davids, K. (2016). Team Synergies in Sport: Theory and Measures. </w:t>
      </w:r>
      <w:r w:rsidRPr="009C1AD8">
        <w:rPr>
          <w:rFonts w:ascii="Cambria" w:hAnsi="Cambria"/>
          <w:i/>
          <w:iCs/>
          <w:sz w:val="22"/>
        </w:rPr>
        <w:t>Frontiers in Psychology</w:t>
      </w:r>
      <w:r w:rsidRPr="009C1AD8">
        <w:rPr>
          <w:rFonts w:ascii="Cambria" w:hAnsi="Cambria"/>
          <w:sz w:val="22"/>
        </w:rPr>
        <w:t xml:space="preserve">, </w:t>
      </w:r>
      <w:r w:rsidRPr="009C1AD8">
        <w:rPr>
          <w:rFonts w:ascii="Cambria" w:hAnsi="Cambria"/>
          <w:i/>
          <w:iCs/>
          <w:sz w:val="22"/>
        </w:rPr>
        <w:t>7</w:t>
      </w:r>
      <w:r w:rsidRPr="009C1AD8">
        <w:rPr>
          <w:rFonts w:ascii="Cambria" w:hAnsi="Cambria"/>
          <w:sz w:val="22"/>
        </w:rPr>
        <w:t>. https://doi.org/10.3389/fpsyg.2016.01449</w:t>
      </w:r>
    </w:p>
    <w:p w14:paraId="1004A52A"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Barnabé, L., Volossovitch, A., Duarte, R., Ferreira, A. P., &amp; Davids, K. (2016). Age-related effects of practice experience on collective behaviours of football players in small-sided games. </w:t>
      </w:r>
      <w:r w:rsidRPr="009C1AD8">
        <w:rPr>
          <w:rFonts w:ascii="Cambria" w:hAnsi="Cambria"/>
          <w:i/>
          <w:iCs/>
          <w:sz w:val="22"/>
        </w:rPr>
        <w:t>Human Movement Science</w:t>
      </w:r>
      <w:r w:rsidRPr="009C1AD8">
        <w:rPr>
          <w:rFonts w:ascii="Cambria" w:hAnsi="Cambria"/>
          <w:sz w:val="22"/>
        </w:rPr>
        <w:t xml:space="preserve">, </w:t>
      </w:r>
      <w:r w:rsidRPr="009C1AD8">
        <w:rPr>
          <w:rFonts w:ascii="Cambria" w:hAnsi="Cambria"/>
          <w:i/>
          <w:iCs/>
          <w:sz w:val="22"/>
        </w:rPr>
        <w:t>48</w:t>
      </w:r>
      <w:r w:rsidRPr="009C1AD8">
        <w:rPr>
          <w:rFonts w:ascii="Cambria" w:hAnsi="Cambria"/>
          <w:sz w:val="22"/>
        </w:rPr>
        <w:t>, 74–81. https://doi.org/10.1016/j.humov.2016.04.007</w:t>
      </w:r>
    </w:p>
    <w:p w14:paraId="1D40E3BF"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Bastida-Castillo, A., Gómez-Carmona, C. D., De La Cruz Sánchez, E., &amp; Pino-Ortega, J. (2019). Comparing accuracy between global positioning systems and ultra-wideband-based position tracking systems used for tactical analyses in soccer. </w:t>
      </w:r>
      <w:r w:rsidRPr="009C1AD8">
        <w:rPr>
          <w:rFonts w:ascii="Cambria" w:hAnsi="Cambria"/>
          <w:i/>
          <w:iCs/>
          <w:sz w:val="22"/>
        </w:rPr>
        <w:t>European Journal of Sport Science</w:t>
      </w:r>
      <w:r w:rsidRPr="009C1AD8">
        <w:rPr>
          <w:rFonts w:ascii="Cambria" w:hAnsi="Cambria"/>
          <w:sz w:val="22"/>
        </w:rPr>
        <w:t xml:space="preserve">, </w:t>
      </w:r>
      <w:r w:rsidRPr="009C1AD8">
        <w:rPr>
          <w:rFonts w:ascii="Cambria" w:hAnsi="Cambria"/>
          <w:i/>
          <w:iCs/>
          <w:sz w:val="22"/>
        </w:rPr>
        <w:t>19</w:t>
      </w:r>
      <w:r w:rsidRPr="009C1AD8">
        <w:rPr>
          <w:rFonts w:ascii="Cambria" w:hAnsi="Cambria"/>
          <w:sz w:val="22"/>
        </w:rPr>
        <w:t>(9), 1157–1165. https://doi.org/10.1080/17461391.2019.1584248</w:t>
      </w:r>
    </w:p>
    <w:p w14:paraId="5D6DE5A9"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Bastida-Castillo, A., Gómez-Carmona, C., De la Cruz-Sánchez, E., Reche-Royo, X., Ibáñez, S., &amp; Pino Ortega, J. (2019). Accuracy and Inter-Unit Reliability of Ultra-Wide-Band Tracking System in Indoor Exercise. </w:t>
      </w:r>
      <w:r w:rsidRPr="009C1AD8">
        <w:rPr>
          <w:rFonts w:ascii="Cambria" w:hAnsi="Cambria"/>
          <w:i/>
          <w:iCs/>
          <w:sz w:val="22"/>
        </w:rPr>
        <w:t>Applied Sciences</w:t>
      </w:r>
      <w:r w:rsidRPr="009C1AD8">
        <w:rPr>
          <w:rFonts w:ascii="Cambria" w:hAnsi="Cambria"/>
          <w:sz w:val="22"/>
        </w:rPr>
        <w:t xml:space="preserve">, </w:t>
      </w:r>
      <w:r w:rsidRPr="009C1AD8">
        <w:rPr>
          <w:rFonts w:ascii="Cambria" w:hAnsi="Cambria"/>
          <w:i/>
          <w:iCs/>
          <w:sz w:val="22"/>
        </w:rPr>
        <w:t>9</w:t>
      </w:r>
      <w:r w:rsidRPr="009C1AD8">
        <w:rPr>
          <w:rFonts w:ascii="Cambria" w:hAnsi="Cambria"/>
          <w:sz w:val="22"/>
        </w:rPr>
        <w:t>(5), 939. https://doi.org/10.3390/app9050939</w:t>
      </w:r>
    </w:p>
    <w:p w14:paraId="5C1064FA" w14:textId="77777777" w:rsidR="00A4168E" w:rsidRPr="009C1AD8" w:rsidRDefault="00A4168E" w:rsidP="00A4168E">
      <w:pPr>
        <w:pStyle w:val="Bibliography"/>
        <w:spacing w:line="240" w:lineRule="auto"/>
        <w:jc w:val="both"/>
        <w:rPr>
          <w:rFonts w:ascii="Cambria" w:hAnsi="Cambria"/>
          <w:sz w:val="22"/>
          <w:lang w:val="fr-FR"/>
        </w:rPr>
      </w:pPr>
      <w:r w:rsidRPr="009C1AD8">
        <w:rPr>
          <w:rFonts w:ascii="Cambria" w:hAnsi="Cambria"/>
          <w:sz w:val="22"/>
        </w:rPr>
        <w:t xml:space="preserve">Bland JM, Altman DG. (1987). </w:t>
      </w:r>
      <w:r w:rsidRPr="009C1AD8">
        <w:rPr>
          <w:rFonts w:ascii="Cambria" w:hAnsi="Cambria"/>
          <w:i/>
          <w:iCs/>
          <w:sz w:val="22"/>
        </w:rPr>
        <w:t>Statistical methods for assessing agreement between measurement.</w:t>
      </w:r>
      <w:r w:rsidRPr="009C1AD8">
        <w:rPr>
          <w:rFonts w:ascii="Cambria" w:hAnsi="Cambria"/>
          <w:sz w:val="22"/>
        </w:rPr>
        <w:t xml:space="preserve"> </w:t>
      </w:r>
      <w:r w:rsidRPr="009C1AD8">
        <w:rPr>
          <w:rFonts w:ascii="Cambria" w:hAnsi="Cambria"/>
          <w:i/>
          <w:iCs/>
          <w:sz w:val="22"/>
          <w:lang w:val="fr-FR"/>
        </w:rPr>
        <w:t>11</w:t>
      </w:r>
      <w:r w:rsidRPr="009C1AD8">
        <w:rPr>
          <w:rFonts w:ascii="Cambria" w:hAnsi="Cambria"/>
          <w:sz w:val="22"/>
          <w:lang w:val="fr-FR"/>
        </w:rPr>
        <w:t>, 399–404.</w:t>
      </w:r>
    </w:p>
    <w:p w14:paraId="7BFEA9D3"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lang w:val="fr-FR"/>
        </w:rPr>
        <w:t xml:space="preserve">Clemente, M. F., Couceiro, S. M., Martins, F. M. L., Mendes, R., &amp; Figueiredo, A. J. (2013). </w:t>
      </w:r>
      <w:r w:rsidRPr="009C1AD8">
        <w:rPr>
          <w:rFonts w:ascii="Cambria" w:hAnsi="Cambria"/>
          <w:sz w:val="22"/>
        </w:rPr>
        <w:t xml:space="preserve">Measuring Collective Behaviour in Football Teams: Inspecting the impact of each half of the match on ball possession. </w:t>
      </w:r>
      <w:r w:rsidRPr="009C1AD8">
        <w:rPr>
          <w:rFonts w:ascii="Cambria" w:hAnsi="Cambria"/>
          <w:i/>
          <w:iCs/>
          <w:sz w:val="22"/>
        </w:rPr>
        <w:t>International Journal of Performance Analysis in Sport</w:t>
      </w:r>
      <w:r w:rsidRPr="009C1AD8">
        <w:rPr>
          <w:rFonts w:ascii="Cambria" w:hAnsi="Cambria"/>
          <w:sz w:val="22"/>
        </w:rPr>
        <w:t xml:space="preserve">, </w:t>
      </w:r>
      <w:r w:rsidRPr="009C1AD8">
        <w:rPr>
          <w:rFonts w:ascii="Cambria" w:hAnsi="Cambria"/>
          <w:i/>
          <w:iCs/>
          <w:sz w:val="22"/>
        </w:rPr>
        <w:t>13</w:t>
      </w:r>
      <w:r w:rsidRPr="009C1AD8">
        <w:rPr>
          <w:rFonts w:ascii="Cambria" w:hAnsi="Cambria"/>
          <w:sz w:val="22"/>
        </w:rPr>
        <w:t>(3), 678–689. https://doi.org/10.1080/24748668.2013.11868680</w:t>
      </w:r>
    </w:p>
    <w:p w14:paraId="73C6102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Cohen, J. (1988). </w:t>
      </w:r>
      <w:r w:rsidRPr="009C1AD8">
        <w:rPr>
          <w:rFonts w:ascii="Cambria" w:hAnsi="Cambria"/>
          <w:i/>
          <w:iCs/>
          <w:sz w:val="22"/>
        </w:rPr>
        <w:t>Statistical power analysis for the behavioral sciences.</w:t>
      </w:r>
      <w:r w:rsidRPr="009C1AD8">
        <w:rPr>
          <w:rFonts w:ascii="Cambria" w:hAnsi="Cambria"/>
          <w:sz w:val="22"/>
        </w:rPr>
        <w:t xml:space="preserve"> (Second Edition). L. Erlbaum Associates.</w:t>
      </w:r>
    </w:p>
    <w:p w14:paraId="10662519"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Coutinho, D., Gonçalves, B., Travassos, B., Abade, E., Wong, D. P., &amp; Sampaio, J. (2018). Effects of pitch spatial references on players’ positioning and physical performances during football small-sided games. </w:t>
      </w:r>
      <w:r w:rsidRPr="009C1AD8">
        <w:rPr>
          <w:rFonts w:ascii="Cambria" w:hAnsi="Cambria"/>
          <w:i/>
          <w:iCs/>
          <w:sz w:val="22"/>
        </w:rPr>
        <w:t>Journal of Sports Sciences</w:t>
      </w:r>
      <w:r w:rsidRPr="009C1AD8">
        <w:rPr>
          <w:rFonts w:ascii="Cambria" w:hAnsi="Cambria"/>
          <w:sz w:val="22"/>
        </w:rPr>
        <w:t>, 1–7. https://doi.org/10.1080/02640414.2018.1523671</w:t>
      </w:r>
    </w:p>
    <w:p w14:paraId="39A9F8D7" w14:textId="77777777" w:rsidR="00A4168E" w:rsidRPr="009C1AD8" w:rsidRDefault="00A4168E" w:rsidP="00A4168E">
      <w:pPr>
        <w:pStyle w:val="Bibliography"/>
        <w:spacing w:line="240" w:lineRule="auto"/>
        <w:jc w:val="both"/>
        <w:rPr>
          <w:rFonts w:ascii="Cambria" w:hAnsi="Cambria"/>
          <w:sz w:val="22"/>
          <w:lang w:val="es-ES"/>
        </w:rPr>
      </w:pPr>
      <w:r w:rsidRPr="009C1AD8">
        <w:rPr>
          <w:rFonts w:ascii="Cambria" w:hAnsi="Cambria"/>
          <w:sz w:val="22"/>
        </w:rPr>
        <w:t xml:space="preserve">Duarte, R., Araújo, D., Fernandes, O., Fonseca, C., Correia, V., Gazimba, V., Travassos, B., Esteves, P., Vilar, L., &amp; Lopes, J. (2010). Capturing complex human behaviors in representative sports contexts with a single camera. </w:t>
      </w:r>
      <w:r w:rsidRPr="009C1AD8">
        <w:rPr>
          <w:rFonts w:ascii="Cambria" w:hAnsi="Cambria"/>
          <w:i/>
          <w:iCs/>
          <w:sz w:val="22"/>
          <w:lang w:val="es-ES"/>
        </w:rPr>
        <w:t>Medicina</w:t>
      </w:r>
      <w:r w:rsidRPr="009C1AD8">
        <w:rPr>
          <w:rFonts w:ascii="Cambria" w:hAnsi="Cambria"/>
          <w:sz w:val="22"/>
          <w:lang w:val="es-ES"/>
        </w:rPr>
        <w:t xml:space="preserve">, </w:t>
      </w:r>
      <w:r w:rsidRPr="009C1AD8">
        <w:rPr>
          <w:rFonts w:ascii="Cambria" w:hAnsi="Cambria"/>
          <w:i/>
          <w:iCs/>
          <w:sz w:val="22"/>
          <w:lang w:val="es-ES"/>
        </w:rPr>
        <w:t>46</w:t>
      </w:r>
      <w:r w:rsidRPr="009C1AD8">
        <w:rPr>
          <w:rFonts w:ascii="Cambria" w:hAnsi="Cambria"/>
          <w:sz w:val="22"/>
          <w:lang w:val="es-ES"/>
        </w:rPr>
        <w:t>(6), 408. https://doi.org/10.3390/medicina46060057</w:t>
      </w:r>
    </w:p>
    <w:p w14:paraId="48BC11E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lang w:val="es-ES"/>
        </w:rPr>
        <w:t xml:space="preserve">Duarte, R., Araújo, D., Freire, L., Folgado, H., Fernandes, O., &amp; Davids, K. (2012). </w:t>
      </w:r>
      <w:r w:rsidRPr="009C1AD8">
        <w:rPr>
          <w:rFonts w:ascii="Cambria" w:hAnsi="Cambria"/>
          <w:sz w:val="22"/>
        </w:rPr>
        <w:t xml:space="preserve">Intra- and inter-group coordination patterns reveal collective behaviors of football players near the scoring zone. </w:t>
      </w:r>
      <w:r w:rsidRPr="009C1AD8">
        <w:rPr>
          <w:rFonts w:ascii="Cambria" w:hAnsi="Cambria"/>
          <w:i/>
          <w:iCs/>
          <w:sz w:val="22"/>
        </w:rPr>
        <w:t>Human Movement Science</w:t>
      </w:r>
      <w:r w:rsidRPr="009C1AD8">
        <w:rPr>
          <w:rFonts w:ascii="Cambria" w:hAnsi="Cambria"/>
          <w:sz w:val="22"/>
        </w:rPr>
        <w:t xml:space="preserve">, </w:t>
      </w:r>
      <w:r w:rsidRPr="009C1AD8">
        <w:rPr>
          <w:rFonts w:ascii="Cambria" w:hAnsi="Cambria"/>
          <w:i/>
          <w:iCs/>
          <w:sz w:val="22"/>
        </w:rPr>
        <w:t>31</w:t>
      </w:r>
      <w:r w:rsidRPr="009C1AD8">
        <w:rPr>
          <w:rFonts w:ascii="Cambria" w:hAnsi="Cambria"/>
          <w:sz w:val="22"/>
        </w:rPr>
        <w:t>(6), 1639–1651. https://doi.org/10.1016/j.humov.2012.03.001</w:t>
      </w:r>
    </w:p>
    <w:p w14:paraId="72074419"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Frencken, W. G. P., Lemmink, K. A. P. M., &amp; Delleman, N. J. (2010). Soccer-specific accuracy and validity of the local position measurement (LPM) system. </w:t>
      </w:r>
      <w:r w:rsidRPr="009C1AD8">
        <w:rPr>
          <w:rFonts w:ascii="Cambria" w:hAnsi="Cambria"/>
          <w:i/>
          <w:iCs/>
          <w:sz w:val="22"/>
        </w:rPr>
        <w:t>Journal of Science and Medicine in Sport</w:t>
      </w:r>
      <w:r w:rsidRPr="009C1AD8">
        <w:rPr>
          <w:rFonts w:ascii="Cambria" w:hAnsi="Cambria"/>
          <w:sz w:val="22"/>
        </w:rPr>
        <w:t xml:space="preserve">, </w:t>
      </w:r>
      <w:r w:rsidRPr="009C1AD8">
        <w:rPr>
          <w:rFonts w:ascii="Cambria" w:hAnsi="Cambria"/>
          <w:i/>
          <w:iCs/>
          <w:sz w:val="22"/>
        </w:rPr>
        <w:t>13</w:t>
      </w:r>
      <w:r w:rsidRPr="009C1AD8">
        <w:rPr>
          <w:rFonts w:ascii="Cambria" w:hAnsi="Cambria"/>
          <w:sz w:val="22"/>
        </w:rPr>
        <w:t>(6), 641–645. https://doi.org/10.1016/j.jsams.2010.04.003</w:t>
      </w:r>
    </w:p>
    <w:p w14:paraId="1BCC5EFB"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Frencken, W, K. L., &amp; Lemmink, K. (2009). Team kinematics of small-sided soccer games: A systematic approach. In: Reilly, T, and F. Korkusuz (Eds.), Science and Football VI. In </w:t>
      </w:r>
      <w:r w:rsidRPr="009C1AD8">
        <w:rPr>
          <w:rFonts w:ascii="Cambria" w:hAnsi="Cambria"/>
          <w:i/>
          <w:iCs/>
          <w:sz w:val="22"/>
        </w:rPr>
        <w:t>Science and Football VI</w:t>
      </w:r>
      <w:r w:rsidRPr="009C1AD8">
        <w:rPr>
          <w:rFonts w:ascii="Cambria" w:hAnsi="Cambria"/>
          <w:sz w:val="22"/>
        </w:rPr>
        <w:t xml:space="preserve"> (pp. 161–166).</w:t>
      </w:r>
    </w:p>
    <w:p w14:paraId="0A648C3E"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lastRenderedPageBreak/>
        <w:t xml:space="preserve">Frencken, W., Lemmink, K., Delleman, N., &amp; Visscher, C. (2011). Oscillations of centroid position and surface area of soccer teams in small-sided games. </w:t>
      </w:r>
      <w:r w:rsidRPr="009C1AD8">
        <w:rPr>
          <w:rFonts w:ascii="Cambria" w:hAnsi="Cambria"/>
          <w:i/>
          <w:iCs/>
          <w:sz w:val="22"/>
        </w:rPr>
        <w:t>European Journal of Sport Science</w:t>
      </w:r>
      <w:r w:rsidRPr="009C1AD8">
        <w:rPr>
          <w:rFonts w:ascii="Cambria" w:hAnsi="Cambria"/>
          <w:sz w:val="22"/>
        </w:rPr>
        <w:t xml:space="preserve">, </w:t>
      </w:r>
      <w:r w:rsidRPr="009C1AD8">
        <w:rPr>
          <w:rFonts w:ascii="Cambria" w:hAnsi="Cambria"/>
          <w:i/>
          <w:iCs/>
          <w:sz w:val="22"/>
        </w:rPr>
        <w:t>11</w:t>
      </w:r>
      <w:r w:rsidRPr="009C1AD8">
        <w:rPr>
          <w:rFonts w:ascii="Cambria" w:hAnsi="Cambria"/>
          <w:sz w:val="22"/>
        </w:rPr>
        <w:t>(4), 215–223. https://doi.org/10.1080/17461391.2010.499967</w:t>
      </w:r>
    </w:p>
    <w:p w14:paraId="4E64DDD2"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Hopkins, W. G., Marshall, S. W., Batterham, A. M., &amp; Hanin, J. (2009). Progressive statistics for studies in sports medicine and exercise science. </w:t>
      </w:r>
      <w:r w:rsidRPr="009C1AD8">
        <w:rPr>
          <w:rFonts w:ascii="Cambria" w:hAnsi="Cambria"/>
          <w:i/>
          <w:iCs/>
          <w:sz w:val="22"/>
        </w:rPr>
        <w:t>Medicine and Science in Sports and Exercise</w:t>
      </w:r>
      <w:r w:rsidRPr="009C1AD8">
        <w:rPr>
          <w:rFonts w:ascii="Cambria" w:hAnsi="Cambria"/>
          <w:sz w:val="22"/>
        </w:rPr>
        <w:t xml:space="preserve">, </w:t>
      </w:r>
      <w:r w:rsidRPr="009C1AD8">
        <w:rPr>
          <w:rFonts w:ascii="Cambria" w:hAnsi="Cambria"/>
          <w:i/>
          <w:iCs/>
          <w:sz w:val="22"/>
        </w:rPr>
        <w:t>41</w:t>
      </w:r>
      <w:r w:rsidRPr="009C1AD8">
        <w:rPr>
          <w:rFonts w:ascii="Cambria" w:hAnsi="Cambria"/>
          <w:sz w:val="22"/>
        </w:rPr>
        <w:t>(1), 3–13. https://doi.org/10.1249/MSS.0b013e31818cb278</w:t>
      </w:r>
    </w:p>
    <w:p w14:paraId="0E9E9D1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lang w:val="fr-FR"/>
        </w:rPr>
        <w:t xml:space="preserve">Kottner, J., &amp; Streiner, D. L. (2011). </w:t>
      </w:r>
      <w:r w:rsidRPr="009C1AD8">
        <w:rPr>
          <w:rFonts w:ascii="Cambria" w:hAnsi="Cambria"/>
          <w:sz w:val="22"/>
        </w:rPr>
        <w:t xml:space="preserve">The difference between reliability and agreement. </w:t>
      </w:r>
      <w:r w:rsidRPr="009C1AD8">
        <w:rPr>
          <w:rFonts w:ascii="Cambria" w:hAnsi="Cambria"/>
          <w:i/>
          <w:iCs/>
          <w:sz w:val="22"/>
        </w:rPr>
        <w:t>Journal of Clinical Epidemiology</w:t>
      </w:r>
      <w:r w:rsidRPr="009C1AD8">
        <w:rPr>
          <w:rFonts w:ascii="Cambria" w:hAnsi="Cambria"/>
          <w:sz w:val="22"/>
        </w:rPr>
        <w:t xml:space="preserve">, </w:t>
      </w:r>
      <w:r w:rsidRPr="009C1AD8">
        <w:rPr>
          <w:rFonts w:ascii="Cambria" w:hAnsi="Cambria"/>
          <w:i/>
          <w:iCs/>
          <w:sz w:val="22"/>
        </w:rPr>
        <w:t>64</w:t>
      </w:r>
      <w:r w:rsidRPr="009C1AD8">
        <w:rPr>
          <w:rFonts w:ascii="Cambria" w:hAnsi="Cambria"/>
          <w:sz w:val="22"/>
        </w:rPr>
        <w:t>(6), 701–702. https://doi.org/10.1016/j.jclinepi.2010.12.001</w:t>
      </w:r>
    </w:p>
    <w:p w14:paraId="75FCCF4B"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Lames, M., Ertmer, J., &amp; Walter, F., L. (2010). </w:t>
      </w:r>
      <w:r w:rsidRPr="009C1AD8">
        <w:rPr>
          <w:rFonts w:ascii="Cambria" w:hAnsi="Cambria"/>
          <w:i/>
          <w:iCs/>
          <w:sz w:val="22"/>
        </w:rPr>
        <w:t>Oscillations in football—Order and disorder in spatial interactions between the two teams</w:t>
      </w:r>
      <w:r w:rsidRPr="009C1AD8">
        <w:rPr>
          <w:rFonts w:ascii="Cambria" w:hAnsi="Cambria"/>
          <w:sz w:val="22"/>
        </w:rPr>
        <w:t xml:space="preserve">. </w:t>
      </w:r>
      <w:r w:rsidRPr="009C1AD8">
        <w:rPr>
          <w:rFonts w:ascii="Cambria" w:hAnsi="Cambria"/>
          <w:i/>
          <w:iCs/>
          <w:sz w:val="22"/>
        </w:rPr>
        <w:t>41</w:t>
      </w:r>
      <w:r w:rsidRPr="009C1AD8">
        <w:rPr>
          <w:rFonts w:ascii="Cambria" w:hAnsi="Cambria"/>
          <w:sz w:val="22"/>
        </w:rPr>
        <w:t>(4), 85.</w:t>
      </w:r>
    </w:p>
    <w:p w14:paraId="7EA977F0"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Leser, R., Baca, A., &amp; Ogris, G. (2011). Local Positioning Systems in (Game) Sports. </w:t>
      </w:r>
      <w:r w:rsidRPr="009C1AD8">
        <w:rPr>
          <w:rFonts w:ascii="Cambria" w:hAnsi="Cambria"/>
          <w:i/>
          <w:iCs/>
          <w:sz w:val="22"/>
        </w:rPr>
        <w:t>Sensors</w:t>
      </w:r>
      <w:r w:rsidRPr="009C1AD8">
        <w:rPr>
          <w:rFonts w:ascii="Cambria" w:hAnsi="Cambria"/>
          <w:sz w:val="22"/>
        </w:rPr>
        <w:t xml:space="preserve">, </w:t>
      </w:r>
      <w:r w:rsidRPr="009C1AD8">
        <w:rPr>
          <w:rFonts w:ascii="Cambria" w:hAnsi="Cambria"/>
          <w:i/>
          <w:iCs/>
          <w:sz w:val="22"/>
        </w:rPr>
        <w:t>11</w:t>
      </w:r>
      <w:r w:rsidRPr="009C1AD8">
        <w:rPr>
          <w:rFonts w:ascii="Cambria" w:hAnsi="Cambria"/>
          <w:sz w:val="22"/>
        </w:rPr>
        <w:t>(10), 9778–9797. https://doi.org/10.3390/s111009778</w:t>
      </w:r>
    </w:p>
    <w:p w14:paraId="466B3097"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Low, B, Coutinho, D, Gonçalves, B, Rein, R, Memmert, D, &amp; Sampaio, J. (2020). </w:t>
      </w:r>
      <w:r w:rsidRPr="009C1AD8">
        <w:rPr>
          <w:rFonts w:ascii="Cambria" w:hAnsi="Cambria"/>
          <w:i/>
          <w:iCs/>
          <w:sz w:val="22"/>
        </w:rPr>
        <w:t>A Systematic Review of Collective Tactical Behaviours in Football Using Positional Data</w:t>
      </w:r>
      <w:r w:rsidRPr="009C1AD8">
        <w:rPr>
          <w:rFonts w:ascii="Cambria" w:hAnsi="Cambria"/>
          <w:sz w:val="22"/>
        </w:rPr>
        <w:t xml:space="preserve">. </w:t>
      </w:r>
      <w:r w:rsidRPr="009C1AD8">
        <w:rPr>
          <w:rFonts w:ascii="Cambria" w:hAnsi="Cambria"/>
          <w:i/>
          <w:iCs/>
          <w:sz w:val="22"/>
        </w:rPr>
        <w:t>50</w:t>
      </w:r>
      <w:r w:rsidRPr="009C1AD8">
        <w:rPr>
          <w:rFonts w:ascii="Cambria" w:hAnsi="Cambria"/>
          <w:sz w:val="22"/>
        </w:rPr>
        <w:t>, 343–385.</w:t>
      </w:r>
    </w:p>
    <w:p w14:paraId="1933FB2E"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Malone, J. J., Lovell, R., Varley, M. C., &amp; Coutts, A. J. (2017). Unpacking the Black Box: Applications and Considerations for Using GPS Devices in Sport. </w:t>
      </w:r>
      <w:r w:rsidRPr="009C1AD8">
        <w:rPr>
          <w:rFonts w:ascii="Cambria" w:hAnsi="Cambria"/>
          <w:i/>
          <w:iCs/>
          <w:sz w:val="22"/>
        </w:rPr>
        <w:t>International Journal of Sports Physiology and Performance</w:t>
      </w:r>
      <w:r w:rsidRPr="009C1AD8">
        <w:rPr>
          <w:rFonts w:ascii="Cambria" w:hAnsi="Cambria"/>
          <w:sz w:val="22"/>
        </w:rPr>
        <w:t xml:space="preserve">, </w:t>
      </w:r>
      <w:r w:rsidRPr="009C1AD8">
        <w:rPr>
          <w:rFonts w:ascii="Cambria" w:hAnsi="Cambria"/>
          <w:i/>
          <w:iCs/>
          <w:sz w:val="22"/>
        </w:rPr>
        <w:t>12</w:t>
      </w:r>
      <w:r w:rsidRPr="009C1AD8">
        <w:rPr>
          <w:rFonts w:ascii="Cambria" w:hAnsi="Cambria"/>
          <w:sz w:val="22"/>
        </w:rPr>
        <w:t>(Suppl 2), 18–26. https://doi.org/10.1123/ijspp.2016-0236</w:t>
      </w:r>
    </w:p>
    <w:p w14:paraId="7A37E3E2"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lang w:val="es-ES"/>
        </w:rPr>
        <w:t xml:space="preserve">Palucci Vieira, L. H., Aquino, R., Moura, F. A., Barros, R. M. L. de, Arpini, V. M., Oliveira, L. P., Bedo, B. L. S., &amp; Santiago, P. R. P. (2018). </w:t>
      </w:r>
      <w:r w:rsidRPr="009C1AD8">
        <w:rPr>
          <w:rFonts w:ascii="Cambria" w:hAnsi="Cambria"/>
          <w:sz w:val="22"/>
        </w:rPr>
        <w:t xml:space="preserve">Team Dynamics, Running, and Skill-Related Performances of Brazilian U11 to Professional Soccer Players During Official Matches: </w:t>
      </w:r>
      <w:r w:rsidRPr="009C1AD8">
        <w:rPr>
          <w:rFonts w:ascii="Cambria" w:hAnsi="Cambria"/>
          <w:i/>
          <w:iCs/>
          <w:sz w:val="22"/>
        </w:rPr>
        <w:t>Journal of Strength and Conditioning Research</w:t>
      </w:r>
      <w:r w:rsidRPr="009C1AD8">
        <w:rPr>
          <w:rFonts w:ascii="Cambria" w:hAnsi="Cambria"/>
          <w:sz w:val="22"/>
        </w:rPr>
        <w:t>, 1. https://doi.org/10.1519/JSC.0000000000002577</w:t>
      </w:r>
    </w:p>
    <w:p w14:paraId="4D2E3C9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Palut, Y., &amp; Zanone, P.-G. (2005). A dynamical analysis of tennis: Concepts and data. </w:t>
      </w:r>
      <w:r w:rsidRPr="009C1AD8">
        <w:rPr>
          <w:rFonts w:ascii="Cambria" w:hAnsi="Cambria"/>
          <w:i/>
          <w:iCs/>
          <w:sz w:val="22"/>
        </w:rPr>
        <w:t>Journal of Sports Sciences</w:t>
      </w:r>
      <w:r w:rsidRPr="009C1AD8">
        <w:rPr>
          <w:rFonts w:ascii="Cambria" w:hAnsi="Cambria"/>
          <w:sz w:val="22"/>
        </w:rPr>
        <w:t xml:space="preserve">, </w:t>
      </w:r>
      <w:r w:rsidRPr="009C1AD8">
        <w:rPr>
          <w:rFonts w:ascii="Cambria" w:hAnsi="Cambria"/>
          <w:i/>
          <w:iCs/>
          <w:sz w:val="22"/>
        </w:rPr>
        <w:t>23</w:t>
      </w:r>
      <w:r w:rsidRPr="009C1AD8">
        <w:rPr>
          <w:rFonts w:ascii="Cambria" w:hAnsi="Cambria"/>
          <w:sz w:val="22"/>
        </w:rPr>
        <w:t>(10), 1021–1032. https://doi.org/10.1080/02640410400021682</w:t>
      </w:r>
    </w:p>
    <w:p w14:paraId="01D6CDC4" w14:textId="77777777" w:rsidR="00A4168E" w:rsidRPr="009C1AD8" w:rsidRDefault="00A4168E" w:rsidP="00A4168E">
      <w:pPr>
        <w:pStyle w:val="Bibliography"/>
        <w:spacing w:line="240" w:lineRule="auto"/>
        <w:jc w:val="both"/>
        <w:rPr>
          <w:rFonts w:ascii="Cambria" w:hAnsi="Cambria"/>
          <w:sz w:val="22"/>
          <w:lang w:val="es-ES"/>
        </w:rPr>
      </w:pPr>
      <w:r w:rsidRPr="009C1AD8">
        <w:rPr>
          <w:rFonts w:ascii="Cambria" w:hAnsi="Cambria"/>
          <w:sz w:val="22"/>
        </w:rPr>
        <w:t xml:space="preserve">Passos, P., Araújo, D., Davids, K., Gouveia, L., Milho, J., &amp; Serpa, S. (2008). Information-governing dynamics of attacker–defender interactions in youth rugby union. </w:t>
      </w:r>
      <w:r w:rsidRPr="009C1AD8">
        <w:rPr>
          <w:rFonts w:ascii="Cambria" w:hAnsi="Cambria"/>
          <w:i/>
          <w:iCs/>
          <w:sz w:val="22"/>
          <w:lang w:val="es-ES"/>
        </w:rPr>
        <w:t>Journal of Sports Sciences</w:t>
      </w:r>
      <w:r w:rsidRPr="009C1AD8">
        <w:rPr>
          <w:rFonts w:ascii="Cambria" w:hAnsi="Cambria"/>
          <w:sz w:val="22"/>
          <w:lang w:val="es-ES"/>
        </w:rPr>
        <w:t xml:space="preserve">, </w:t>
      </w:r>
      <w:r w:rsidRPr="009C1AD8">
        <w:rPr>
          <w:rFonts w:ascii="Cambria" w:hAnsi="Cambria"/>
          <w:i/>
          <w:iCs/>
          <w:sz w:val="22"/>
          <w:lang w:val="es-ES"/>
        </w:rPr>
        <w:t>26</w:t>
      </w:r>
      <w:r w:rsidRPr="009C1AD8">
        <w:rPr>
          <w:rFonts w:ascii="Cambria" w:hAnsi="Cambria"/>
          <w:sz w:val="22"/>
          <w:lang w:val="es-ES"/>
        </w:rPr>
        <w:t>(13), 1421–1429. https://doi.org/10.1080/02640410802208986</w:t>
      </w:r>
    </w:p>
    <w:p w14:paraId="28A07D12" w14:textId="77777777" w:rsidR="00A4168E" w:rsidRPr="009C1AD8" w:rsidRDefault="00A4168E" w:rsidP="00A4168E">
      <w:pPr>
        <w:pStyle w:val="Bibliography"/>
        <w:spacing w:line="240" w:lineRule="auto"/>
        <w:jc w:val="both"/>
        <w:rPr>
          <w:rFonts w:ascii="Cambria" w:hAnsi="Cambria"/>
          <w:sz w:val="22"/>
          <w:lang w:val="es-ES"/>
        </w:rPr>
      </w:pPr>
      <w:r w:rsidRPr="009C1AD8">
        <w:rPr>
          <w:rFonts w:ascii="Cambria" w:hAnsi="Cambria"/>
          <w:sz w:val="22"/>
          <w:lang w:val="es-ES"/>
        </w:rPr>
        <w:t xml:space="preserve">Reche-Soto, P., Cardona-Nieto, D., Diaz-Suarez, A., Bastida-Castillo, A., Gomez-Carmona, C., Garcia-Rubio, J., &amp; Pino-Ortega, J. (2019). </w:t>
      </w:r>
      <w:r w:rsidRPr="009C1AD8">
        <w:rPr>
          <w:rFonts w:ascii="Cambria" w:hAnsi="Cambria"/>
          <w:i/>
          <w:iCs/>
          <w:sz w:val="22"/>
        </w:rPr>
        <w:t>Player Load and Metabolic Power Dynamics as Load Quantifiers in Soccer</w:t>
      </w:r>
      <w:r w:rsidRPr="009C1AD8">
        <w:rPr>
          <w:rFonts w:ascii="Cambria" w:hAnsi="Cambria"/>
          <w:sz w:val="22"/>
        </w:rPr>
        <w:t xml:space="preserve">. </w:t>
      </w:r>
      <w:r w:rsidRPr="009C1AD8">
        <w:rPr>
          <w:rFonts w:ascii="Cambria" w:hAnsi="Cambria"/>
          <w:sz w:val="22"/>
          <w:lang w:val="es-ES"/>
        </w:rPr>
        <w:t>13.</w:t>
      </w:r>
    </w:p>
    <w:p w14:paraId="2FEADD1B" w14:textId="77777777" w:rsidR="00A4168E" w:rsidRPr="009C1AD8" w:rsidRDefault="00A4168E" w:rsidP="00A4168E">
      <w:pPr>
        <w:pStyle w:val="Bibliography"/>
        <w:spacing w:line="240" w:lineRule="auto"/>
        <w:jc w:val="both"/>
        <w:rPr>
          <w:rFonts w:ascii="Cambria" w:hAnsi="Cambria"/>
          <w:sz w:val="22"/>
          <w:lang w:val="es-ES"/>
        </w:rPr>
      </w:pPr>
      <w:r w:rsidRPr="009C1AD8">
        <w:rPr>
          <w:rFonts w:ascii="Cambria" w:hAnsi="Cambria"/>
          <w:sz w:val="22"/>
          <w:lang w:val="es-ES"/>
        </w:rPr>
        <w:t xml:space="preserve">Rico-González, M., Arcos, A. L., Rojas-Valverde, D., Clemente, F. M., &amp; Pino-Ortega, J. (2020). </w:t>
      </w:r>
      <w:r w:rsidRPr="009C1AD8">
        <w:rPr>
          <w:rFonts w:ascii="Cambria" w:hAnsi="Cambria"/>
          <w:sz w:val="22"/>
        </w:rPr>
        <w:t xml:space="preserve">A Survey to Assess the Quality of the Data Obtained by Radio-Frequency Technologies and Microelectromechanical Systems to Measure External Workload and Collective Behavior Variables in Team Sports. </w:t>
      </w:r>
      <w:r w:rsidRPr="009C1AD8">
        <w:rPr>
          <w:rFonts w:ascii="Cambria" w:hAnsi="Cambria"/>
          <w:i/>
          <w:iCs/>
          <w:sz w:val="22"/>
          <w:lang w:val="es-ES"/>
        </w:rPr>
        <w:t>Sensors</w:t>
      </w:r>
      <w:r w:rsidRPr="009C1AD8">
        <w:rPr>
          <w:rFonts w:ascii="Cambria" w:hAnsi="Cambria"/>
          <w:sz w:val="22"/>
          <w:lang w:val="es-ES"/>
        </w:rPr>
        <w:t>, 16.</w:t>
      </w:r>
    </w:p>
    <w:p w14:paraId="60311CD0"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lang w:val="es-ES"/>
        </w:rPr>
        <w:t xml:space="preserve">Rico-González, M., Los Arcos, A., Nakamura, F. Y., Moura, F. A., &amp; Pino-Ortega, J. (2020). </w:t>
      </w:r>
      <w:r w:rsidRPr="009C1AD8">
        <w:rPr>
          <w:rFonts w:ascii="Cambria" w:hAnsi="Cambria"/>
          <w:sz w:val="22"/>
        </w:rPr>
        <w:t xml:space="preserve">The use of technology and sampling frequency to measure variables of tactical positioning in team sports: A systematic review. </w:t>
      </w:r>
      <w:r w:rsidRPr="009C1AD8">
        <w:rPr>
          <w:rFonts w:ascii="Cambria" w:hAnsi="Cambria"/>
          <w:i/>
          <w:iCs/>
          <w:sz w:val="22"/>
        </w:rPr>
        <w:t>Research in Sports Medicine</w:t>
      </w:r>
      <w:r w:rsidRPr="009C1AD8">
        <w:rPr>
          <w:rFonts w:ascii="Cambria" w:hAnsi="Cambria"/>
          <w:sz w:val="22"/>
        </w:rPr>
        <w:t xml:space="preserve">, </w:t>
      </w:r>
      <w:r w:rsidRPr="009C1AD8">
        <w:rPr>
          <w:rFonts w:ascii="Cambria" w:hAnsi="Cambria"/>
          <w:i/>
          <w:iCs/>
          <w:sz w:val="22"/>
        </w:rPr>
        <w:t>28</w:t>
      </w:r>
      <w:r w:rsidRPr="009C1AD8">
        <w:rPr>
          <w:rFonts w:ascii="Cambria" w:hAnsi="Cambria"/>
          <w:sz w:val="22"/>
        </w:rPr>
        <w:t>(2), 279–292. https://doi.org/10.1080/15438627.2019.1660879</w:t>
      </w:r>
    </w:p>
    <w:p w14:paraId="572B46C1"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Rico-González, M., Pino-Ortega, J., Nakamura, F. Y., Moura, F. A., &amp; Arcos, A. L. (2020). Identification, Computational Examination, Critical Assessment and Future Considerations of Distance Variables to Assess Collective Tactical Behaviour in Team Invasion Sports by Positional Data: A Systematic Review. </w:t>
      </w:r>
      <w:r w:rsidRPr="009C1AD8">
        <w:rPr>
          <w:rFonts w:ascii="Cambria" w:hAnsi="Cambria"/>
          <w:i/>
          <w:iCs/>
          <w:sz w:val="22"/>
        </w:rPr>
        <w:t>Int. J. Environ. Res. Public Health</w:t>
      </w:r>
      <w:r w:rsidRPr="009C1AD8">
        <w:rPr>
          <w:rFonts w:ascii="Cambria" w:hAnsi="Cambria"/>
          <w:sz w:val="22"/>
        </w:rPr>
        <w:t>, 14.</w:t>
      </w:r>
    </w:p>
    <w:p w14:paraId="3246493C"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Schmidt, R. C., O´ Brien, B., &amp; Sysko, R. (1999). </w:t>
      </w:r>
      <w:r w:rsidRPr="009C1AD8">
        <w:rPr>
          <w:rFonts w:ascii="Cambria" w:hAnsi="Cambria"/>
          <w:i/>
          <w:iCs/>
          <w:sz w:val="22"/>
        </w:rPr>
        <w:t>Self organization of between person cooperative tasks and possible applications to sport</w:t>
      </w:r>
      <w:r w:rsidRPr="009C1AD8">
        <w:rPr>
          <w:rFonts w:ascii="Cambria" w:hAnsi="Cambria"/>
          <w:sz w:val="22"/>
        </w:rPr>
        <w:t xml:space="preserve">. </w:t>
      </w:r>
      <w:r w:rsidRPr="009C1AD8">
        <w:rPr>
          <w:rFonts w:ascii="Cambria" w:hAnsi="Cambria"/>
          <w:i/>
          <w:iCs/>
          <w:sz w:val="22"/>
        </w:rPr>
        <w:t>30</w:t>
      </w:r>
      <w:r w:rsidRPr="009C1AD8">
        <w:rPr>
          <w:rFonts w:ascii="Cambria" w:hAnsi="Cambria"/>
          <w:sz w:val="22"/>
        </w:rPr>
        <w:t>, 558–579.</w:t>
      </w:r>
    </w:p>
    <w:p w14:paraId="4D744495"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Schöllhorn. (2003). Coordination Dynamics and its Consequences on Sports. </w:t>
      </w:r>
      <w:r w:rsidRPr="009C1AD8">
        <w:rPr>
          <w:rFonts w:ascii="Cambria" w:hAnsi="Cambria"/>
          <w:i/>
          <w:iCs/>
          <w:sz w:val="22"/>
        </w:rPr>
        <w:t>Int. J. Comp. Sci. Sport</w:t>
      </w:r>
      <w:r w:rsidRPr="009C1AD8">
        <w:rPr>
          <w:rFonts w:ascii="Cambria" w:hAnsi="Cambria"/>
          <w:sz w:val="22"/>
        </w:rPr>
        <w:t>.</w:t>
      </w:r>
    </w:p>
    <w:p w14:paraId="0077F468"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Silva, P., Duarte, R., Sampaio, J., Aguiar, P., Davids, K., Araújo, D., &amp; Garganta, J. (2014). Field dimension and skill level constrain team tactical behaviours in small-sided and conditioned games in football. </w:t>
      </w:r>
      <w:r w:rsidRPr="009C1AD8">
        <w:rPr>
          <w:rFonts w:ascii="Cambria" w:hAnsi="Cambria"/>
          <w:i/>
          <w:iCs/>
          <w:sz w:val="22"/>
        </w:rPr>
        <w:t>Journal of Sports Sciences</w:t>
      </w:r>
      <w:r w:rsidRPr="009C1AD8">
        <w:rPr>
          <w:rFonts w:ascii="Cambria" w:hAnsi="Cambria"/>
          <w:sz w:val="22"/>
        </w:rPr>
        <w:t xml:space="preserve">, </w:t>
      </w:r>
      <w:r w:rsidRPr="009C1AD8">
        <w:rPr>
          <w:rFonts w:ascii="Cambria" w:hAnsi="Cambria"/>
          <w:i/>
          <w:iCs/>
          <w:sz w:val="22"/>
        </w:rPr>
        <w:t>32</w:t>
      </w:r>
      <w:r w:rsidRPr="009C1AD8">
        <w:rPr>
          <w:rFonts w:ascii="Cambria" w:hAnsi="Cambria"/>
          <w:sz w:val="22"/>
        </w:rPr>
        <w:t>(20), 1888–1896. https://doi.org/10.1080/02640414.2014.961950</w:t>
      </w:r>
    </w:p>
    <w:p w14:paraId="14E7D8F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Timmerman, E. A., Farrow, D., &amp; Savelsbergh, G. J. (2017). The effect of manipulating task constraints on game performance in youth field hockey. </w:t>
      </w:r>
      <w:r w:rsidRPr="009C1AD8">
        <w:rPr>
          <w:rFonts w:ascii="Cambria" w:hAnsi="Cambria"/>
          <w:i/>
          <w:iCs/>
          <w:sz w:val="22"/>
        </w:rPr>
        <w:t>International Journal of Sports Science &amp; Coaching</w:t>
      </w:r>
      <w:r w:rsidRPr="009C1AD8">
        <w:rPr>
          <w:rFonts w:ascii="Cambria" w:hAnsi="Cambria"/>
          <w:sz w:val="22"/>
        </w:rPr>
        <w:t xml:space="preserve">, </w:t>
      </w:r>
      <w:r w:rsidRPr="009C1AD8">
        <w:rPr>
          <w:rFonts w:ascii="Cambria" w:hAnsi="Cambria"/>
          <w:i/>
          <w:iCs/>
          <w:sz w:val="22"/>
        </w:rPr>
        <w:t>12</w:t>
      </w:r>
      <w:r w:rsidRPr="009C1AD8">
        <w:rPr>
          <w:rFonts w:ascii="Cambria" w:hAnsi="Cambria"/>
          <w:sz w:val="22"/>
        </w:rPr>
        <w:t>(5), 588–594. https://doi.org/10.1177/1747954117727659</w:t>
      </w:r>
    </w:p>
    <w:p w14:paraId="1D7AD1B3"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Travassos, B., Araújo, D., Duarte, R., &amp; McGarry, T. (2012). Spatiotemporal coordination patterns in futsal (indoor football) are guided by informational game constraints. </w:t>
      </w:r>
      <w:r w:rsidRPr="009C1AD8">
        <w:rPr>
          <w:rFonts w:ascii="Cambria" w:hAnsi="Cambria"/>
          <w:i/>
          <w:iCs/>
          <w:sz w:val="22"/>
        </w:rPr>
        <w:t>Human Movement Science</w:t>
      </w:r>
      <w:r w:rsidRPr="009C1AD8">
        <w:rPr>
          <w:rFonts w:ascii="Cambria" w:hAnsi="Cambria"/>
          <w:sz w:val="22"/>
        </w:rPr>
        <w:t xml:space="preserve">, </w:t>
      </w:r>
      <w:r w:rsidRPr="009C1AD8">
        <w:rPr>
          <w:rFonts w:ascii="Cambria" w:hAnsi="Cambria"/>
          <w:i/>
          <w:iCs/>
          <w:sz w:val="22"/>
        </w:rPr>
        <w:t>31</w:t>
      </w:r>
      <w:r w:rsidRPr="009C1AD8">
        <w:rPr>
          <w:rFonts w:ascii="Cambria" w:hAnsi="Cambria"/>
          <w:sz w:val="22"/>
        </w:rPr>
        <w:t>(4), 932–945. https://doi.org/10.1016/j.humov.2011.10.004</w:t>
      </w:r>
    </w:p>
    <w:p w14:paraId="0BCB82D4"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lastRenderedPageBreak/>
        <w:t xml:space="preserve">Winter, D. A. (2009). </w:t>
      </w:r>
      <w:r w:rsidRPr="009C1AD8">
        <w:rPr>
          <w:rFonts w:ascii="Cambria" w:hAnsi="Cambria"/>
          <w:i/>
          <w:iCs/>
          <w:sz w:val="22"/>
        </w:rPr>
        <w:t>Biomechanics and motor control of human movement</w:t>
      </w:r>
      <w:r w:rsidRPr="009C1AD8">
        <w:rPr>
          <w:rFonts w:ascii="Cambria" w:hAnsi="Cambria"/>
          <w:sz w:val="22"/>
        </w:rPr>
        <w:t xml:space="preserve"> (4. ed). John Wiley &amp; Sons, Inc., Hoboken, New Jersey.</w:t>
      </w:r>
    </w:p>
    <w:p w14:paraId="1966C317"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Yue, Z., Broich, H., Seifriz, F., &amp; Mester, J. (2008). Mathematical Analysis of a Soccer Game. Part I: Individual and Collective Behaviors. </w:t>
      </w:r>
      <w:r w:rsidRPr="009C1AD8">
        <w:rPr>
          <w:rFonts w:ascii="Cambria" w:hAnsi="Cambria"/>
          <w:i/>
          <w:iCs/>
          <w:sz w:val="22"/>
        </w:rPr>
        <w:t>Studies in Applied Mathematics</w:t>
      </w:r>
      <w:r w:rsidRPr="009C1AD8">
        <w:rPr>
          <w:rFonts w:ascii="Cambria" w:hAnsi="Cambria"/>
          <w:sz w:val="22"/>
        </w:rPr>
        <w:t xml:space="preserve">, </w:t>
      </w:r>
      <w:r w:rsidRPr="009C1AD8">
        <w:rPr>
          <w:rFonts w:ascii="Cambria" w:hAnsi="Cambria"/>
          <w:i/>
          <w:iCs/>
          <w:sz w:val="22"/>
        </w:rPr>
        <w:t>121</w:t>
      </w:r>
      <w:r w:rsidRPr="009C1AD8">
        <w:rPr>
          <w:rFonts w:ascii="Cambria" w:hAnsi="Cambria"/>
          <w:sz w:val="22"/>
        </w:rPr>
        <w:t>(3), 223–243. https://doi.org/10.1111/j.1467-9590.2008.00413.x</w:t>
      </w:r>
    </w:p>
    <w:p w14:paraId="165710CD" w14:textId="77777777" w:rsidR="00A4168E" w:rsidRPr="009C1AD8" w:rsidRDefault="00A4168E" w:rsidP="00A4168E">
      <w:pPr>
        <w:pStyle w:val="Bibliography"/>
        <w:spacing w:line="240" w:lineRule="auto"/>
        <w:jc w:val="both"/>
        <w:rPr>
          <w:rFonts w:ascii="Cambria" w:hAnsi="Cambria"/>
          <w:sz w:val="22"/>
        </w:rPr>
      </w:pPr>
      <w:r w:rsidRPr="009C1AD8">
        <w:rPr>
          <w:rFonts w:ascii="Cambria" w:hAnsi="Cambria"/>
          <w:sz w:val="22"/>
        </w:rPr>
        <w:t xml:space="preserve">Zaki, R., Bulgiba, A., Ismail, R., &amp; Ismail, N. A. (2012). Statistical Methods Used to Test for Agreement of Medical Instruments Measuring Continuous Variables in Method Comparison Studies: A Systematic Review. </w:t>
      </w:r>
      <w:r w:rsidRPr="009C1AD8">
        <w:rPr>
          <w:rFonts w:ascii="Cambria" w:hAnsi="Cambria"/>
          <w:i/>
          <w:iCs/>
          <w:sz w:val="22"/>
        </w:rPr>
        <w:t>PLoS ONE</w:t>
      </w:r>
      <w:r w:rsidRPr="009C1AD8">
        <w:rPr>
          <w:rFonts w:ascii="Cambria" w:hAnsi="Cambria"/>
          <w:sz w:val="22"/>
        </w:rPr>
        <w:t xml:space="preserve">, </w:t>
      </w:r>
      <w:r w:rsidRPr="009C1AD8">
        <w:rPr>
          <w:rFonts w:ascii="Cambria" w:hAnsi="Cambria"/>
          <w:i/>
          <w:iCs/>
          <w:sz w:val="22"/>
        </w:rPr>
        <w:t>7</w:t>
      </w:r>
      <w:r w:rsidRPr="009C1AD8">
        <w:rPr>
          <w:rFonts w:ascii="Cambria" w:hAnsi="Cambria"/>
          <w:sz w:val="22"/>
        </w:rPr>
        <w:t>(5), e37908. https://doi.org/10.1371/journal.pone.0037908</w:t>
      </w:r>
    </w:p>
    <w:p w14:paraId="252C5696" w14:textId="77777777" w:rsidR="00A4168E" w:rsidRPr="009C1AD8" w:rsidRDefault="00A4168E" w:rsidP="00A4168E">
      <w:pPr>
        <w:suppressAutoHyphens w:val="0"/>
        <w:jc w:val="both"/>
        <w:rPr>
          <w:rFonts w:ascii="Cambria" w:eastAsia="Cambria" w:hAnsi="Cambria" w:cs="Cambria"/>
          <w:b/>
          <w:color w:val="000000"/>
          <w:sz w:val="22"/>
          <w:szCs w:val="22"/>
        </w:rPr>
      </w:pPr>
      <w:r w:rsidRPr="009C1AD8">
        <w:rPr>
          <w:rFonts w:ascii="Cambria" w:eastAsia="Cambria" w:hAnsi="Cambria" w:cs="Cambria"/>
          <w:b/>
          <w:color w:val="000000"/>
          <w:sz w:val="22"/>
          <w:szCs w:val="22"/>
        </w:rPr>
        <w:fldChar w:fldCharType="end"/>
      </w:r>
    </w:p>
    <w:p w14:paraId="31028CFA" w14:textId="77777777" w:rsidR="00A4168E" w:rsidRPr="009C1AD8" w:rsidRDefault="00A4168E">
      <w:pPr>
        <w:suppressAutoHyphens w:val="0"/>
        <w:rPr>
          <w:rFonts w:ascii="Cambria" w:eastAsia="Cambria" w:hAnsi="Cambria" w:cs="Cambria"/>
          <w:b/>
          <w:color w:val="000000"/>
          <w:sz w:val="22"/>
          <w:szCs w:val="22"/>
        </w:rPr>
      </w:pPr>
      <w:r w:rsidRPr="009C1AD8">
        <w:rPr>
          <w:rFonts w:ascii="Cambria" w:eastAsia="Cambria" w:hAnsi="Cambria" w:cs="Cambria"/>
          <w:b/>
          <w:color w:val="000000"/>
          <w:sz w:val="22"/>
          <w:szCs w:val="22"/>
        </w:rPr>
        <w:br w:type="page"/>
      </w:r>
    </w:p>
    <w:p w14:paraId="49E711CC" w14:textId="77777777" w:rsidR="00A4168E" w:rsidRPr="009C1AD8" w:rsidRDefault="00A4168E">
      <w:pPr>
        <w:suppressAutoHyphens w:val="0"/>
        <w:rPr>
          <w:rFonts w:ascii="Cambria" w:eastAsia="Cambria" w:hAnsi="Cambria" w:cs="Cambria"/>
          <w:b/>
          <w:color w:val="000000"/>
          <w:sz w:val="22"/>
          <w:szCs w:val="22"/>
        </w:rPr>
        <w:sectPr w:rsidR="00A4168E" w:rsidRPr="009C1AD8">
          <w:headerReference w:type="even" r:id="rId13"/>
          <w:headerReference w:type="default" r:id="rId14"/>
          <w:footerReference w:type="even" r:id="rId15"/>
          <w:footerReference w:type="default" r:id="rId16"/>
          <w:headerReference w:type="first" r:id="rId17"/>
          <w:footerReference w:type="first" r:id="rId18"/>
          <w:pgSz w:w="11905" w:h="16837"/>
          <w:pgMar w:top="1418" w:right="1134" w:bottom="1134" w:left="1418" w:header="567" w:footer="720" w:gutter="0"/>
          <w:pgNumType w:start="1"/>
          <w:cols w:space="720"/>
          <w:titlePg/>
        </w:sectPr>
      </w:pPr>
    </w:p>
    <w:p w14:paraId="40A29F6E" w14:textId="77777777" w:rsidR="00E625F1" w:rsidRPr="009C1AD8" w:rsidRDefault="00E625F1" w:rsidP="00E625F1">
      <w:pPr>
        <w:pStyle w:val="Caption"/>
        <w:keepNext/>
        <w:jc w:val="center"/>
        <w:rPr>
          <w:rFonts w:ascii="Cambria" w:hAnsi="Cambria"/>
          <w:b/>
          <w:i w:val="0"/>
          <w:sz w:val="20"/>
          <w:szCs w:val="20"/>
        </w:rPr>
      </w:pPr>
      <w:bookmarkStart w:id="26" w:name="_Toc37333269"/>
    </w:p>
    <w:p w14:paraId="39CB18BA" w14:textId="77777777" w:rsidR="00A4168E" w:rsidRPr="009C1AD8" w:rsidRDefault="00A4168E" w:rsidP="00E625F1">
      <w:pPr>
        <w:pStyle w:val="Caption"/>
        <w:keepNext/>
        <w:jc w:val="center"/>
        <w:rPr>
          <w:rFonts w:ascii="Cambria" w:hAnsi="Cambria"/>
          <w:i w:val="0"/>
          <w:sz w:val="20"/>
          <w:szCs w:val="20"/>
        </w:rPr>
      </w:pPr>
      <w:r w:rsidRPr="009C1AD8">
        <w:rPr>
          <w:rFonts w:ascii="Cambria" w:hAnsi="Cambria"/>
          <w:b/>
          <w:i w:val="0"/>
          <w:sz w:val="20"/>
          <w:szCs w:val="20"/>
        </w:rPr>
        <w:t>Table 1.</w:t>
      </w:r>
      <w:r w:rsidRPr="009C1AD8">
        <w:rPr>
          <w:rFonts w:ascii="Cambria" w:hAnsi="Cambria"/>
          <w:i w:val="0"/>
          <w:sz w:val="20"/>
          <w:szCs w:val="20"/>
        </w:rPr>
        <w:t xml:space="preserve"> Intra-class Correlation Coefficient, Linear Correlation and mean comparison of change in centroid position (CCP) by </w:t>
      </w:r>
      <w:bookmarkEnd w:id="26"/>
      <w:r w:rsidRPr="009C1AD8">
        <w:rPr>
          <w:rFonts w:ascii="Cambria" w:hAnsi="Cambria"/>
          <w:i w:val="0"/>
          <w:sz w:val="20"/>
          <w:szCs w:val="20"/>
        </w:rPr>
        <w:t>sampling frequency</w:t>
      </w:r>
    </w:p>
    <w:tbl>
      <w:tblPr>
        <w:tblpPr w:leftFromText="141" w:rightFromText="141" w:vertAnchor="text" w:horzAnchor="margin" w:tblpYSpec="outside"/>
        <w:tblW w:w="14670" w:type="dxa"/>
        <w:tblLook w:val="04A0" w:firstRow="1" w:lastRow="0" w:firstColumn="1" w:lastColumn="0" w:noHBand="0" w:noVBand="1"/>
      </w:tblPr>
      <w:tblGrid>
        <w:gridCol w:w="540"/>
        <w:gridCol w:w="2538"/>
        <w:gridCol w:w="2151"/>
        <w:gridCol w:w="642"/>
        <w:gridCol w:w="729"/>
        <w:gridCol w:w="1238"/>
        <w:gridCol w:w="764"/>
        <w:gridCol w:w="1192"/>
        <w:gridCol w:w="1419"/>
        <w:gridCol w:w="1697"/>
        <w:gridCol w:w="1760"/>
      </w:tblGrid>
      <w:tr w:rsidR="00A4168E" w:rsidRPr="009C1AD8" w14:paraId="06D33255" w14:textId="77777777" w:rsidTr="00A4168E">
        <w:trPr>
          <w:trHeight w:val="428"/>
        </w:trPr>
        <w:tc>
          <w:tcPr>
            <w:tcW w:w="0" w:type="auto"/>
            <w:tcBorders>
              <w:top w:val="single" w:sz="4" w:space="0" w:color="auto"/>
              <w:bottom w:val="single" w:sz="4" w:space="0" w:color="auto"/>
            </w:tcBorders>
            <w:shd w:val="clear" w:color="auto" w:fill="auto"/>
          </w:tcPr>
          <w:p w14:paraId="3F806246"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Task</w:t>
            </w:r>
          </w:p>
        </w:tc>
        <w:tc>
          <w:tcPr>
            <w:tcW w:w="2538" w:type="dxa"/>
            <w:tcBorders>
              <w:top w:val="single" w:sz="4" w:space="0" w:color="auto"/>
              <w:bottom w:val="single" w:sz="4" w:space="0" w:color="auto"/>
            </w:tcBorders>
            <w:shd w:val="clear" w:color="auto" w:fill="auto"/>
          </w:tcPr>
          <w:p w14:paraId="3B46F4F1"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Variable</w:t>
            </w:r>
          </w:p>
        </w:tc>
        <w:tc>
          <w:tcPr>
            <w:tcW w:w="2151" w:type="dxa"/>
            <w:tcBorders>
              <w:top w:val="single" w:sz="4" w:space="0" w:color="auto"/>
              <w:bottom w:val="single" w:sz="4" w:space="0" w:color="auto"/>
            </w:tcBorders>
            <w:shd w:val="clear" w:color="auto" w:fill="auto"/>
          </w:tcPr>
          <w:p w14:paraId="2C2F8F6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color w:val="222222"/>
                <w:sz w:val="12"/>
                <w:szCs w:val="12"/>
                <w:lang w:val="en-GB"/>
              </w:rPr>
              <w:t>Sampling frequencies</w:t>
            </w:r>
          </w:p>
        </w:tc>
        <w:tc>
          <w:tcPr>
            <w:tcW w:w="642" w:type="dxa"/>
            <w:tcBorders>
              <w:top w:val="single" w:sz="4" w:space="0" w:color="auto"/>
              <w:bottom w:val="single" w:sz="4" w:space="0" w:color="auto"/>
            </w:tcBorders>
            <w:shd w:val="clear" w:color="auto" w:fill="auto"/>
          </w:tcPr>
          <w:p w14:paraId="379D31B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N</w:t>
            </w:r>
          </w:p>
        </w:tc>
        <w:tc>
          <w:tcPr>
            <w:tcW w:w="729" w:type="dxa"/>
            <w:tcBorders>
              <w:top w:val="single" w:sz="4" w:space="0" w:color="auto"/>
              <w:bottom w:val="single" w:sz="4" w:space="0" w:color="auto"/>
            </w:tcBorders>
            <w:shd w:val="clear" w:color="auto" w:fill="auto"/>
          </w:tcPr>
          <w:p w14:paraId="248833E3" w14:textId="77777777" w:rsidR="00A4168E" w:rsidRPr="009C1AD8" w:rsidRDefault="00A4168E" w:rsidP="00A4168E">
            <w:pPr>
              <w:spacing w:before="60" w:after="60" w:line="360" w:lineRule="auto"/>
              <w:rPr>
                <w:rFonts w:ascii="Cambria" w:hAnsi="Cambria"/>
                <w:i/>
                <w:sz w:val="12"/>
                <w:szCs w:val="12"/>
                <w:lang w:val="en-GB"/>
              </w:rPr>
            </w:pPr>
            <w:r w:rsidRPr="009C1AD8">
              <w:rPr>
                <w:rFonts w:ascii="Cambria" w:hAnsi="Cambria"/>
                <w:i/>
                <w:sz w:val="12"/>
                <w:szCs w:val="12"/>
                <w:lang w:val="en-GB"/>
              </w:rPr>
              <w:t xml:space="preserve">ICC </w:t>
            </w:r>
          </w:p>
        </w:tc>
        <w:tc>
          <w:tcPr>
            <w:tcW w:w="1238" w:type="dxa"/>
            <w:tcBorders>
              <w:top w:val="single" w:sz="4" w:space="0" w:color="auto"/>
              <w:bottom w:val="single" w:sz="4" w:space="0" w:color="auto"/>
            </w:tcBorders>
            <w:shd w:val="clear" w:color="auto" w:fill="auto"/>
          </w:tcPr>
          <w:p w14:paraId="183B441D" w14:textId="77777777" w:rsidR="00A4168E" w:rsidRPr="009C1AD8" w:rsidRDefault="00A4168E" w:rsidP="00A4168E">
            <w:pPr>
              <w:spacing w:before="60" w:after="60" w:line="360" w:lineRule="auto"/>
              <w:rPr>
                <w:rFonts w:ascii="Cambria" w:hAnsi="Cambria"/>
                <w:i/>
                <w:sz w:val="12"/>
                <w:szCs w:val="12"/>
                <w:lang w:val="en-GB"/>
              </w:rPr>
            </w:pPr>
            <w:r w:rsidRPr="009C1AD8">
              <w:rPr>
                <w:rFonts w:ascii="Cambria" w:hAnsi="Cambria"/>
                <w:i/>
                <w:color w:val="000000"/>
                <w:sz w:val="12"/>
                <w:szCs w:val="12"/>
                <w:lang w:val="en-GB" w:eastAsia="es-CR"/>
              </w:rPr>
              <w:t>95% IC</w:t>
            </w:r>
            <w:r w:rsidRPr="009C1AD8">
              <w:rPr>
                <w:rFonts w:ascii="Cambria" w:hAnsi="Cambria"/>
                <w:i/>
                <w:sz w:val="12"/>
                <w:szCs w:val="12"/>
                <w:lang w:val="en-GB"/>
              </w:rPr>
              <w:t xml:space="preserve"> </w:t>
            </w:r>
          </w:p>
        </w:tc>
        <w:tc>
          <w:tcPr>
            <w:tcW w:w="764" w:type="dxa"/>
            <w:tcBorders>
              <w:top w:val="single" w:sz="4" w:space="0" w:color="auto"/>
              <w:bottom w:val="single" w:sz="4" w:space="0" w:color="auto"/>
            </w:tcBorders>
            <w:shd w:val="clear" w:color="auto" w:fill="auto"/>
          </w:tcPr>
          <w:p w14:paraId="34B0CC4D" w14:textId="77777777" w:rsidR="00A4168E" w:rsidRPr="009C1AD8" w:rsidRDefault="00A4168E" w:rsidP="00A4168E">
            <w:pPr>
              <w:spacing w:before="60" w:after="60" w:line="360" w:lineRule="auto"/>
              <w:rPr>
                <w:rFonts w:ascii="Cambria" w:hAnsi="Cambria"/>
                <w:i/>
                <w:sz w:val="12"/>
                <w:szCs w:val="12"/>
                <w:lang w:val="en-GB"/>
              </w:rPr>
            </w:pPr>
            <w:r w:rsidRPr="009C1AD8">
              <w:rPr>
                <w:rFonts w:ascii="Cambria" w:hAnsi="Cambria"/>
                <w:i/>
                <w:sz w:val="12"/>
                <w:szCs w:val="12"/>
                <w:lang w:val="en-GB"/>
              </w:rPr>
              <w:t>BIAS</w:t>
            </w:r>
          </w:p>
        </w:tc>
        <w:tc>
          <w:tcPr>
            <w:tcW w:w="1192" w:type="dxa"/>
            <w:tcBorders>
              <w:top w:val="single" w:sz="4" w:space="0" w:color="auto"/>
              <w:bottom w:val="single" w:sz="4" w:space="0" w:color="auto"/>
            </w:tcBorders>
            <w:shd w:val="clear" w:color="auto" w:fill="auto"/>
          </w:tcPr>
          <w:p w14:paraId="7D9A6F8C" w14:textId="77777777" w:rsidR="00A4168E" w:rsidRPr="009C1AD8" w:rsidRDefault="00A4168E" w:rsidP="00A4168E">
            <w:pPr>
              <w:spacing w:before="60" w:after="60" w:line="360" w:lineRule="auto"/>
              <w:rPr>
                <w:rFonts w:ascii="Cambria" w:hAnsi="Cambria"/>
                <w:i/>
                <w:sz w:val="12"/>
                <w:szCs w:val="12"/>
                <w:lang w:val="en-GB"/>
              </w:rPr>
            </w:pPr>
            <w:r w:rsidRPr="009C1AD8">
              <w:rPr>
                <w:rFonts w:ascii="Cambria" w:hAnsi="Cambria"/>
                <w:i/>
                <w:sz w:val="12"/>
                <w:szCs w:val="12"/>
                <w:lang w:val="en-GB"/>
              </w:rPr>
              <w:t>95%IC</w:t>
            </w:r>
          </w:p>
        </w:tc>
        <w:tc>
          <w:tcPr>
            <w:tcW w:w="1419" w:type="dxa"/>
            <w:tcBorders>
              <w:top w:val="single" w:sz="4" w:space="0" w:color="auto"/>
              <w:bottom w:val="single" w:sz="4" w:space="0" w:color="auto"/>
            </w:tcBorders>
            <w:shd w:val="clear" w:color="auto" w:fill="auto"/>
          </w:tcPr>
          <w:p w14:paraId="28B65C4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i/>
                <w:sz w:val="12"/>
                <w:szCs w:val="12"/>
                <w:lang w:val="en-GB"/>
              </w:rPr>
              <w:t>r</w:t>
            </w:r>
            <w:r w:rsidRPr="009C1AD8">
              <w:rPr>
                <w:rFonts w:ascii="Cambria" w:hAnsi="Cambria"/>
                <w:sz w:val="12"/>
                <w:szCs w:val="12"/>
                <w:lang w:val="en-GB"/>
              </w:rPr>
              <w:t xml:space="preserve"> (</w:t>
            </w:r>
            <w:r w:rsidRPr="009C1AD8">
              <w:rPr>
                <w:rFonts w:ascii="Cambria" w:hAnsi="Cambria"/>
                <w:i/>
                <w:sz w:val="12"/>
                <w:szCs w:val="12"/>
                <w:lang w:val="en-GB"/>
              </w:rPr>
              <w:t>p</w:t>
            </w:r>
            <w:r w:rsidRPr="009C1AD8">
              <w:rPr>
                <w:rFonts w:ascii="Cambria" w:hAnsi="Cambria"/>
                <w:sz w:val="12"/>
                <w:szCs w:val="12"/>
                <w:lang w:val="en-GB"/>
              </w:rPr>
              <w:t xml:space="preserve"> value)</w:t>
            </w:r>
          </w:p>
        </w:tc>
        <w:tc>
          <w:tcPr>
            <w:tcW w:w="1697" w:type="dxa"/>
            <w:tcBorders>
              <w:top w:val="single" w:sz="4" w:space="0" w:color="auto"/>
              <w:bottom w:val="single" w:sz="4" w:space="0" w:color="auto"/>
            </w:tcBorders>
            <w:shd w:val="clear" w:color="auto" w:fill="auto"/>
          </w:tcPr>
          <w:p w14:paraId="76FFB4F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i/>
                <w:sz w:val="12"/>
                <w:szCs w:val="12"/>
                <w:lang w:val="en-GB"/>
              </w:rPr>
              <w:t>t</w:t>
            </w:r>
            <w:r w:rsidRPr="009C1AD8">
              <w:rPr>
                <w:rFonts w:ascii="Cambria" w:hAnsi="Cambria"/>
                <w:sz w:val="12"/>
                <w:szCs w:val="12"/>
                <w:lang w:val="en-GB"/>
              </w:rPr>
              <w:t xml:space="preserve"> (</w:t>
            </w:r>
            <w:r w:rsidRPr="009C1AD8">
              <w:rPr>
                <w:rFonts w:ascii="Cambria" w:hAnsi="Cambria"/>
                <w:i/>
                <w:sz w:val="12"/>
                <w:szCs w:val="12"/>
                <w:lang w:val="en-GB"/>
              </w:rPr>
              <w:t>p</w:t>
            </w:r>
            <w:r w:rsidRPr="009C1AD8">
              <w:rPr>
                <w:rFonts w:ascii="Cambria" w:hAnsi="Cambria"/>
                <w:sz w:val="12"/>
                <w:szCs w:val="12"/>
                <w:lang w:val="en-GB"/>
              </w:rPr>
              <w:t xml:space="preserve"> value)</w:t>
            </w:r>
          </w:p>
        </w:tc>
        <w:tc>
          <w:tcPr>
            <w:tcW w:w="1760" w:type="dxa"/>
            <w:tcBorders>
              <w:top w:val="single" w:sz="4" w:space="0" w:color="auto"/>
              <w:bottom w:val="single" w:sz="4" w:space="0" w:color="auto"/>
            </w:tcBorders>
          </w:tcPr>
          <w:p w14:paraId="4ACF1E88" w14:textId="77777777" w:rsidR="00A4168E" w:rsidRPr="009C1AD8" w:rsidRDefault="00A4168E" w:rsidP="00A4168E">
            <w:pPr>
              <w:spacing w:before="60" w:after="60" w:line="360" w:lineRule="auto"/>
              <w:rPr>
                <w:rFonts w:ascii="Cambria" w:hAnsi="Cambria"/>
                <w:i/>
                <w:sz w:val="12"/>
                <w:szCs w:val="12"/>
                <w:lang w:val="en-GB"/>
              </w:rPr>
            </w:pPr>
            <w:r w:rsidRPr="009C1AD8">
              <w:rPr>
                <w:rFonts w:ascii="Cambria" w:hAnsi="Cambria"/>
                <w:sz w:val="12"/>
                <w:szCs w:val="12"/>
                <w:lang w:val="en-GB"/>
              </w:rPr>
              <w:t>Cohen</w:t>
            </w:r>
            <w:r w:rsidRPr="009C1AD8">
              <w:rPr>
                <w:rFonts w:ascii="Cambria" w:hAnsi="Cambria"/>
                <w:i/>
                <w:sz w:val="12"/>
                <w:szCs w:val="12"/>
                <w:lang w:val="en-GB"/>
              </w:rPr>
              <w:t xml:space="preserve"> d (rating)</w:t>
            </w:r>
          </w:p>
        </w:tc>
      </w:tr>
      <w:tr w:rsidR="00A4168E" w:rsidRPr="009C1AD8" w14:paraId="6C3E4F2C" w14:textId="77777777" w:rsidTr="00A4168E">
        <w:trPr>
          <w:trHeight w:val="286"/>
        </w:trPr>
        <w:tc>
          <w:tcPr>
            <w:tcW w:w="0" w:type="auto"/>
            <w:vMerge w:val="restart"/>
            <w:tcBorders>
              <w:top w:val="single" w:sz="4" w:space="0" w:color="auto"/>
            </w:tcBorders>
            <w:shd w:val="clear" w:color="auto" w:fill="auto"/>
            <w:vAlign w:val="center"/>
          </w:tcPr>
          <w:p w14:paraId="6F3EA212"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Task 1</w:t>
            </w:r>
          </w:p>
        </w:tc>
        <w:tc>
          <w:tcPr>
            <w:tcW w:w="2538" w:type="dxa"/>
            <w:vMerge w:val="restart"/>
            <w:tcBorders>
              <w:top w:val="single" w:sz="4" w:space="0" w:color="auto"/>
            </w:tcBorders>
            <w:shd w:val="clear" w:color="auto" w:fill="auto"/>
            <w:vAlign w:val="center"/>
          </w:tcPr>
          <w:p w14:paraId="50DC7969"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Change in Centroid (m)</w:t>
            </w:r>
          </w:p>
        </w:tc>
        <w:tc>
          <w:tcPr>
            <w:tcW w:w="2151" w:type="dxa"/>
            <w:tcBorders>
              <w:top w:val="single" w:sz="4" w:space="0" w:color="auto"/>
            </w:tcBorders>
            <w:shd w:val="clear" w:color="auto" w:fill="auto"/>
          </w:tcPr>
          <w:p w14:paraId="352A882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10vs4</w:t>
            </w:r>
          </w:p>
        </w:tc>
        <w:tc>
          <w:tcPr>
            <w:tcW w:w="642" w:type="dxa"/>
            <w:tcBorders>
              <w:top w:val="single" w:sz="4" w:space="0" w:color="auto"/>
            </w:tcBorders>
            <w:shd w:val="clear" w:color="auto" w:fill="auto"/>
          </w:tcPr>
          <w:p w14:paraId="3BB57C2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tcBorders>
              <w:top w:val="single" w:sz="4" w:space="0" w:color="auto"/>
            </w:tcBorders>
            <w:shd w:val="clear" w:color="auto" w:fill="auto"/>
          </w:tcPr>
          <w:p w14:paraId="3C6800E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0.33</w:t>
            </w:r>
          </w:p>
        </w:tc>
        <w:tc>
          <w:tcPr>
            <w:tcW w:w="1238" w:type="dxa"/>
            <w:tcBorders>
              <w:top w:val="single" w:sz="4" w:space="0" w:color="auto"/>
            </w:tcBorders>
            <w:shd w:val="clear" w:color="auto" w:fill="auto"/>
          </w:tcPr>
          <w:p w14:paraId="7CF6EAD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0.22; 0.43</w:t>
            </w:r>
          </w:p>
        </w:tc>
        <w:tc>
          <w:tcPr>
            <w:tcW w:w="764" w:type="dxa"/>
            <w:tcBorders>
              <w:top w:val="single" w:sz="4" w:space="0" w:color="auto"/>
            </w:tcBorders>
            <w:shd w:val="clear" w:color="auto" w:fill="auto"/>
          </w:tcPr>
          <w:p w14:paraId="279B326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-0.18</w:t>
            </w:r>
          </w:p>
        </w:tc>
        <w:tc>
          <w:tcPr>
            <w:tcW w:w="1192" w:type="dxa"/>
            <w:tcBorders>
              <w:top w:val="single" w:sz="4" w:space="0" w:color="auto"/>
            </w:tcBorders>
            <w:shd w:val="clear" w:color="auto" w:fill="auto"/>
          </w:tcPr>
          <w:p w14:paraId="07E9C1E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-0.57; 0.21 </w:t>
            </w:r>
          </w:p>
        </w:tc>
        <w:tc>
          <w:tcPr>
            <w:tcW w:w="1419" w:type="dxa"/>
            <w:tcBorders>
              <w:top w:val="single" w:sz="4" w:space="0" w:color="auto"/>
            </w:tcBorders>
            <w:shd w:val="clear" w:color="auto" w:fill="auto"/>
          </w:tcPr>
          <w:p w14:paraId="2DC1B4D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0.49 (&lt; 0.01)</w:t>
            </w:r>
          </w:p>
        </w:tc>
        <w:tc>
          <w:tcPr>
            <w:tcW w:w="1697" w:type="dxa"/>
            <w:tcBorders>
              <w:top w:val="single" w:sz="4" w:space="0" w:color="auto"/>
            </w:tcBorders>
            <w:shd w:val="clear" w:color="auto" w:fill="auto"/>
          </w:tcPr>
          <w:p w14:paraId="7B4416E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-15.07 (&lt; 0.01)</w:t>
            </w:r>
          </w:p>
        </w:tc>
        <w:tc>
          <w:tcPr>
            <w:tcW w:w="1760" w:type="dxa"/>
            <w:tcBorders>
              <w:top w:val="single" w:sz="4" w:space="0" w:color="auto"/>
            </w:tcBorders>
          </w:tcPr>
          <w:p w14:paraId="7E2F00C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-1.27, </w:t>
            </w:r>
            <w:r w:rsidRPr="009C1AD8">
              <w:rPr>
                <w:rFonts w:ascii="Cambria" w:hAnsi="Cambria"/>
                <w:i/>
                <w:sz w:val="12"/>
                <w:szCs w:val="12"/>
                <w:lang w:val="en-GB"/>
              </w:rPr>
              <w:t>large</w:t>
            </w:r>
          </w:p>
        </w:tc>
      </w:tr>
      <w:tr w:rsidR="00A4168E" w:rsidRPr="009C1AD8" w14:paraId="79E0378B" w14:textId="77777777" w:rsidTr="00A4168E">
        <w:trPr>
          <w:trHeight w:val="286"/>
        </w:trPr>
        <w:tc>
          <w:tcPr>
            <w:tcW w:w="0" w:type="auto"/>
            <w:vMerge/>
            <w:shd w:val="clear" w:color="auto" w:fill="auto"/>
            <w:vAlign w:val="center"/>
          </w:tcPr>
          <w:p w14:paraId="2D704CB0"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483ABF99"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10D52B4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10vs2</w:t>
            </w:r>
          </w:p>
        </w:tc>
        <w:tc>
          <w:tcPr>
            <w:tcW w:w="642" w:type="dxa"/>
            <w:shd w:val="clear" w:color="auto" w:fill="auto"/>
          </w:tcPr>
          <w:p w14:paraId="5CE8E17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6D1F247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0.18</w:t>
            </w:r>
          </w:p>
        </w:tc>
        <w:tc>
          <w:tcPr>
            <w:tcW w:w="1238" w:type="dxa"/>
            <w:shd w:val="clear" w:color="auto" w:fill="auto"/>
          </w:tcPr>
          <w:p w14:paraId="5EC6E1F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0.07; 0.3</w:t>
            </w:r>
          </w:p>
        </w:tc>
        <w:tc>
          <w:tcPr>
            <w:tcW w:w="764" w:type="dxa"/>
            <w:shd w:val="clear" w:color="auto" w:fill="auto"/>
          </w:tcPr>
          <w:p w14:paraId="0ED6A60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-0.49</w:t>
            </w:r>
          </w:p>
        </w:tc>
        <w:tc>
          <w:tcPr>
            <w:tcW w:w="1192" w:type="dxa"/>
            <w:shd w:val="clear" w:color="auto" w:fill="auto"/>
          </w:tcPr>
          <w:p w14:paraId="5BAB4AD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-1.33; 0.84 </w:t>
            </w:r>
          </w:p>
        </w:tc>
        <w:tc>
          <w:tcPr>
            <w:tcW w:w="1419" w:type="dxa"/>
            <w:shd w:val="clear" w:color="auto" w:fill="auto"/>
          </w:tcPr>
          <w:p w14:paraId="5562986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0.49 (&lt; 0.01)</w:t>
            </w:r>
          </w:p>
        </w:tc>
        <w:tc>
          <w:tcPr>
            <w:tcW w:w="1697" w:type="dxa"/>
            <w:shd w:val="clear" w:color="auto" w:fill="auto"/>
          </w:tcPr>
          <w:p w14:paraId="427CBA9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-19.2 (&lt; 0.01)</w:t>
            </w:r>
          </w:p>
        </w:tc>
        <w:tc>
          <w:tcPr>
            <w:tcW w:w="1760" w:type="dxa"/>
          </w:tcPr>
          <w:p w14:paraId="4610497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-1.63, </w:t>
            </w:r>
            <w:r w:rsidRPr="009C1AD8">
              <w:rPr>
                <w:rFonts w:ascii="Cambria" w:hAnsi="Cambria"/>
                <w:i/>
                <w:sz w:val="12"/>
                <w:szCs w:val="12"/>
                <w:lang w:val="en-GB"/>
              </w:rPr>
              <w:t>large</w:t>
            </w:r>
          </w:p>
        </w:tc>
      </w:tr>
      <w:tr w:rsidR="00A4168E" w:rsidRPr="009C1AD8" w14:paraId="7A56DBDE" w14:textId="77777777" w:rsidTr="00A4168E">
        <w:trPr>
          <w:trHeight w:val="286"/>
        </w:trPr>
        <w:tc>
          <w:tcPr>
            <w:tcW w:w="0" w:type="auto"/>
            <w:vMerge/>
            <w:shd w:val="clear" w:color="auto" w:fill="auto"/>
            <w:vAlign w:val="center"/>
          </w:tcPr>
          <w:p w14:paraId="29BFC85B"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3D762473"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78611E0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10vs1</w:t>
            </w:r>
          </w:p>
        </w:tc>
        <w:tc>
          <w:tcPr>
            <w:tcW w:w="642" w:type="dxa"/>
            <w:shd w:val="clear" w:color="auto" w:fill="auto"/>
          </w:tcPr>
          <w:p w14:paraId="40C8D81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7417C2F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w:t>
            </w:r>
          </w:p>
        </w:tc>
        <w:tc>
          <w:tcPr>
            <w:tcW w:w="1238" w:type="dxa"/>
            <w:shd w:val="clear" w:color="auto" w:fill="auto"/>
          </w:tcPr>
          <w:p w14:paraId="4E9ECC2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-0.02; 0.21</w:t>
            </w:r>
          </w:p>
        </w:tc>
        <w:tc>
          <w:tcPr>
            <w:tcW w:w="764" w:type="dxa"/>
            <w:shd w:val="clear" w:color="auto" w:fill="auto"/>
          </w:tcPr>
          <w:p w14:paraId="3D09DE8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-01.11</w:t>
            </w:r>
          </w:p>
        </w:tc>
        <w:tc>
          <w:tcPr>
            <w:tcW w:w="1192" w:type="dxa"/>
            <w:shd w:val="clear" w:color="auto" w:fill="auto"/>
          </w:tcPr>
          <w:p w14:paraId="3EAB11B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-2.85; 0.63;</w:t>
            </w:r>
          </w:p>
        </w:tc>
        <w:tc>
          <w:tcPr>
            <w:tcW w:w="1419" w:type="dxa"/>
            <w:shd w:val="clear" w:color="auto" w:fill="auto"/>
          </w:tcPr>
          <w:p w14:paraId="43D3CBE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 (&lt; 0.01)</w:t>
            </w:r>
          </w:p>
        </w:tc>
        <w:tc>
          <w:tcPr>
            <w:tcW w:w="1697" w:type="dxa"/>
            <w:shd w:val="clear" w:color="auto" w:fill="auto"/>
          </w:tcPr>
          <w:p w14:paraId="2F41899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-20.77 (&lt; 0.01)</w:t>
            </w:r>
          </w:p>
        </w:tc>
        <w:tc>
          <w:tcPr>
            <w:tcW w:w="1760" w:type="dxa"/>
          </w:tcPr>
          <w:p w14:paraId="00488D0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-1.76, </w:t>
            </w:r>
            <w:r w:rsidRPr="009C1AD8">
              <w:rPr>
                <w:rFonts w:ascii="Cambria" w:hAnsi="Cambria"/>
                <w:i/>
                <w:sz w:val="12"/>
                <w:szCs w:val="12"/>
                <w:lang w:val="en-GB"/>
              </w:rPr>
              <w:t>large</w:t>
            </w:r>
          </w:p>
        </w:tc>
      </w:tr>
      <w:tr w:rsidR="00A4168E" w:rsidRPr="009C1AD8" w14:paraId="4763DE55" w14:textId="77777777" w:rsidTr="00A4168E">
        <w:trPr>
          <w:trHeight w:val="286"/>
        </w:trPr>
        <w:tc>
          <w:tcPr>
            <w:tcW w:w="0" w:type="auto"/>
            <w:vMerge/>
            <w:shd w:val="clear" w:color="auto" w:fill="auto"/>
            <w:vAlign w:val="center"/>
          </w:tcPr>
          <w:p w14:paraId="713DD8CB"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6CB2E9CA"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26BFE8F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4vs2</w:t>
            </w:r>
          </w:p>
        </w:tc>
        <w:tc>
          <w:tcPr>
            <w:tcW w:w="642" w:type="dxa"/>
            <w:shd w:val="clear" w:color="auto" w:fill="auto"/>
          </w:tcPr>
          <w:p w14:paraId="2B58111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6C9440E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0.79</w:t>
            </w:r>
          </w:p>
        </w:tc>
        <w:tc>
          <w:tcPr>
            <w:tcW w:w="1238" w:type="dxa"/>
            <w:shd w:val="clear" w:color="auto" w:fill="auto"/>
          </w:tcPr>
          <w:p w14:paraId="0E8B85F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0.75; 0.83</w:t>
            </w:r>
          </w:p>
        </w:tc>
        <w:tc>
          <w:tcPr>
            <w:tcW w:w="764" w:type="dxa"/>
            <w:shd w:val="clear" w:color="auto" w:fill="auto"/>
          </w:tcPr>
          <w:p w14:paraId="199EFB5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-0.31</w:t>
            </w:r>
          </w:p>
        </w:tc>
        <w:tc>
          <w:tcPr>
            <w:tcW w:w="1192" w:type="dxa"/>
            <w:shd w:val="clear" w:color="auto" w:fill="auto"/>
          </w:tcPr>
          <w:p w14:paraId="031C412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-0.76; 0.14</w:t>
            </w:r>
          </w:p>
        </w:tc>
        <w:tc>
          <w:tcPr>
            <w:tcW w:w="1419" w:type="dxa"/>
            <w:shd w:val="clear" w:color="auto" w:fill="auto"/>
          </w:tcPr>
          <w:p w14:paraId="6DFCFA4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0.99 (&lt; 0.01)</w:t>
            </w:r>
          </w:p>
        </w:tc>
        <w:tc>
          <w:tcPr>
            <w:tcW w:w="1697" w:type="dxa"/>
            <w:shd w:val="clear" w:color="auto" w:fill="auto"/>
          </w:tcPr>
          <w:p w14:paraId="1D1AE9C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-21.89 (&lt; 0.01)</w:t>
            </w:r>
          </w:p>
        </w:tc>
        <w:tc>
          <w:tcPr>
            <w:tcW w:w="1760" w:type="dxa"/>
          </w:tcPr>
          <w:p w14:paraId="2C86B89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-1.85, </w:t>
            </w:r>
            <w:r w:rsidRPr="009C1AD8">
              <w:rPr>
                <w:rFonts w:ascii="Cambria" w:hAnsi="Cambria"/>
                <w:i/>
                <w:sz w:val="12"/>
                <w:szCs w:val="12"/>
                <w:lang w:val="en-GB"/>
              </w:rPr>
              <w:t>large</w:t>
            </w:r>
          </w:p>
        </w:tc>
      </w:tr>
      <w:tr w:rsidR="00A4168E" w:rsidRPr="009C1AD8" w14:paraId="223E173E" w14:textId="77777777" w:rsidTr="00A4168E">
        <w:trPr>
          <w:trHeight w:val="286"/>
        </w:trPr>
        <w:tc>
          <w:tcPr>
            <w:tcW w:w="0" w:type="auto"/>
            <w:vMerge/>
            <w:shd w:val="clear" w:color="auto" w:fill="auto"/>
            <w:vAlign w:val="center"/>
          </w:tcPr>
          <w:p w14:paraId="5D55312D"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284C846F"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1A815E2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4vs1</w:t>
            </w:r>
          </w:p>
        </w:tc>
        <w:tc>
          <w:tcPr>
            <w:tcW w:w="642" w:type="dxa"/>
            <w:shd w:val="clear" w:color="auto" w:fill="auto"/>
          </w:tcPr>
          <w:p w14:paraId="7006EBF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54975A1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0.46</w:t>
            </w:r>
          </w:p>
        </w:tc>
        <w:tc>
          <w:tcPr>
            <w:tcW w:w="1238" w:type="dxa"/>
            <w:shd w:val="clear" w:color="auto" w:fill="auto"/>
          </w:tcPr>
          <w:p w14:paraId="4D680BD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0.36; 0.55</w:t>
            </w:r>
          </w:p>
        </w:tc>
        <w:tc>
          <w:tcPr>
            <w:tcW w:w="764" w:type="dxa"/>
            <w:shd w:val="clear" w:color="auto" w:fill="auto"/>
          </w:tcPr>
          <w:p w14:paraId="2B9ABE4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-0.93</w:t>
            </w:r>
          </w:p>
        </w:tc>
        <w:tc>
          <w:tcPr>
            <w:tcW w:w="1192" w:type="dxa"/>
            <w:shd w:val="clear" w:color="auto" w:fill="auto"/>
          </w:tcPr>
          <w:p w14:paraId="6A83543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-2.32; 0.46 </w:t>
            </w:r>
          </w:p>
        </w:tc>
        <w:tc>
          <w:tcPr>
            <w:tcW w:w="1419" w:type="dxa"/>
            <w:shd w:val="clear" w:color="auto" w:fill="auto"/>
          </w:tcPr>
          <w:p w14:paraId="4B43477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0.98 (&lt; 0.01)</w:t>
            </w:r>
          </w:p>
        </w:tc>
        <w:tc>
          <w:tcPr>
            <w:tcW w:w="1697" w:type="dxa"/>
            <w:shd w:val="clear" w:color="auto" w:fill="auto"/>
          </w:tcPr>
          <w:p w14:paraId="6F1A10A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-21.82 (&lt; 0.01)</w:t>
            </w:r>
          </w:p>
        </w:tc>
        <w:tc>
          <w:tcPr>
            <w:tcW w:w="1760" w:type="dxa"/>
          </w:tcPr>
          <w:p w14:paraId="55FE924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-1.85, </w:t>
            </w:r>
            <w:r w:rsidRPr="009C1AD8">
              <w:rPr>
                <w:rFonts w:ascii="Cambria" w:hAnsi="Cambria"/>
                <w:i/>
                <w:sz w:val="12"/>
                <w:szCs w:val="12"/>
                <w:lang w:val="en-GB"/>
              </w:rPr>
              <w:t>large</w:t>
            </w:r>
          </w:p>
        </w:tc>
      </w:tr>
      <w:tr w:rsidR="00A4168E" w:rsidRPr="009C1AD8" w14:paraId="52227C55" w14:textId="77777777" w:rsidTr="00A4168E">
        <w:trPr>
          <w:trHeight w:val="286"/>
        </w:trPr>
        <w:tc>
          <w:tcPr>
            <w:tcW w:w="0" w:type="auto"/>
            <w:vMerge/>
            <w:shd w:val="clear" w:color="auto" w:fill="auto"/>
            <w:vAlign w:val="center"/>
          </w:tcPr>
          <w:p w14:paraId="430E6583"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1A593114"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6ABC819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2vs1</w:t>
            </w:r>
          </w:p>
        </w:tc>
        <w:tc>
          <w:tcPr>
            <w:tcW w:w="642" w:type="dxa"/>
            <w:shd w:val="clear" w:color="auto" w:fill="auto"/>
          </w:tcPr>
          <w:p w14:paraId="5CC54A7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17C6765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0.79</w:t>
            </w:r>
          </w:p>
        </w:tc>
        <w:tc>
          <w:tcPr>
            <w:tcW w:w="1238" w:type="dxa"/>
            <w:shd w:val="clear" w:color="auto" w:fill="auto"/>
          </w:tcPr>
          <w:p w14:paraId="33B5FF6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0.74; 0.83</w:t>
            </w:r>
          </w:p>
        </w:tc>
        <w:tc>
          <w:tcPr>
            <w:tcW w:w="764" w:type="dxa"/>
            <w:shd w:val="clear" w:color="auto" w:fill="auto"/>
          </w:tcPr>
          <w:p w14:paraId="6813130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-0.62</w:t>
            </w:r>
          </w:p>
        </w:tc>
        <w:tc>
          <w:tcPr>
            <w:tcW w:w="1192" w:type="dxa"/>
            <w:shd w:val="clear" w:color="auto" w:fill="auto"/>
          </w:tcPr>
          <w:p w14:paraId="3ECE489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-1.56; 0.32 </w:t>
            </w:r>
          </w:p>
        </w:tc>
        <w:tc>
          <w:tcPr>
            <w:tcW w:w="1419" w:type="dxa"/>
            <w:shd w:val="clear" w:color="auto" w:fill="auto"/>
          </w:tcPr>
          <w:p w14:paraId="0AC2A5A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0.99 (&lt; 0.01)</w:t>
            </w:r>
          </w:p>
        </w:tc>
        <w:tc>
          <w:tcPr>
            <w:tcW w:w="1697" w:type="dxa"/>
            <w:shd w:val="clear" w:color="auto" w:fill="auto"/>
          </w:tcPr>
          <w:p w14:paraId="685A2D1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-21.57 (&lt; 0.01)</w:t>
            </w:r>
          </w:p>
        </w:tc>
        <w:tc>
          <w:tcPr>
            <w:tcW w:w="1760" w:type="dxa"/>
          </w:tcPr>
          <w:p w14:paraId="667FDBD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-1.83, </w:t>
            </w:r>
            <w:r w:rsidRPr="009C1AD8">
              <w:rPr>
                <w:rFonts w:ascii="Cambria" w:hAnsi="Cambria"/>
                <w:i/>
                <w:sz w:val="12"/>
                <w:szCs w:val="12"/>
                <w:lang w:val="en-GB"/>
              </w:rPr>
              <w:t>large</w:t>
            </w:r>
          </w:p>
        </w:tc>
      </w:tr>
      <w:tr w:rsidR="00A4168E" w:rsidRPr="009C1AD8" w14:paraId="4B541DAC" w14:textId="77777777" w:rsidTr="00A4168E">
        <w:trPr>
          <w:trHeight w:val="286"/>
        </w:trPr>
        <w:tc>
          <w:tcPr>
            <w:tcW w:w="0" w:type="auto"/>
            <w:vMerge w:val="restart"/>
            <w:shd w:val="clear" w:color="auto" w:fill="auto"/>
            <w:vAlign w:val="center"/>
          </w:tcPr>
          <w:p w14:paraId="1008BAEC"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Task 2</w:t>
            </w:r>
          </w:p>
        </w:tc>
        <w:tc>
          <w:tcPr>
            <w:tcW w:w="2538" w:type="dxa"/>
            <w:vMerge w:val="restart"/>
            <w:shd w:val="clear" w:color="auto" w:fill="auto"/>
            <w:vAlign w:val="center"/>
          </w:tcPr>
          <w:p w14:paraId="39F7B4BE"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Change in Centroid (m)</w:t>
            </w:r>
          </w:p>
        </w:tc>
        <w:tc>
          <w:tcPr>
            <w:tcW w:w="2151" w:type="dxa"/>
            <w:shd w:val="clear" w:color="auto" w:fill="auto"/>
          </w:tcPr>
          <w:p w14:paraId="6EDDC20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10vs4</w:t>
            </w:r>
          </w:p>
        </w:tc>
        <w:tc>
          <w:tcPr>
            <w:tcW w:w="642" w:type="dxa"/>
            <w:shd w:val="clear" w:color="auto" w:fill="auto"/>
          </w:tcPr>
          <w:p w14:paraId="4C695AB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00C8EB2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0.69</w:t>
            </w:r>
          </w:p>
        </w:tc>
        <w:tc>
          <w:tcPr>
            <w:tcW w:w="1238" w:type="dxa"/>
            <w:shd w:val="clear" w:color="auto" w:fill="auto"/>
          </w:tcPr>
          <w:p w14:paraId="36F3040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0.62; 0.76 </w:t>
            </w:r>
          </w:p>
        </w:tc>
        <w:tc>
          <w:tcPr>
            <w:tcW w:w="764" w:type="dxa"/>
            <w:shd w:val="clear" w:color="auto" w:fill="auto"/>
          </w:tcPr>
          <w:p w14:paraId="23ED47F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-0.09</w:t>
            </w:r>
          </w:p>
        </w:tc>
        <w:tc>
          <w:tcPr>
            <w:tcW w:w="1192" w:type="dxa"/>
            <w:shd w:val="clear" w:color="auto" w:fill="auto"/>
          </w:tcPr>
          <w:p w14:paraId="60EFD85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 0.02</w:t>
            </w:r>
          </w:p>
        </w:tc>
        <w:tc>
          <w:tcPr>
            <w:tcW w:w="1419" w:type="dxa"/>
            <w:shd w:val="clear" w:color="auto" w:fill="auto"/>
          </w:tcPr>
          <w:p w14:paraId="6C4AEE6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0.96 (&lt; 0.01)</w:t>
            </w:r>
          </w:p>
        </w:tc>
        <w:tc>
          <w:tcPr>
            <w:tcW w:w="1697" w:type="dxa"/>
            <w:shd w:val="clear" w:color="auto" w:fill="auto"/>
          </w:tcPr>
          <w:p w14:paraId="11A9924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-19.58 (&lt; 0.01)</w:t>
            </w:r>
          </w:p>
        </w:tc>
        <w:tc>
          <w:tcPr>
            <w:tcW w:w="1760" w:type="dxa"/>
          </w:tcPr>
          <w:p w14:paraId="315CAC8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-1.66, </w:t>
            </w:r>
            <w:r w:rsidRPr="009C1AD8">
              <w:rPr>
                <w:rFonts w:ascii="Cambria" w:hAnsi="Cambria"/>
                <w:i/>
                <w:sz w:val="12"/>
                <w:szCs w:val="12"/>
                <w:lang w:val="en-GB"/>
              </w:rPr>
              <w:t>large</w:t>
            </w:r>
          </w:p>
        </w:tc>
      </w:tr>
      <w:tr w:rsidR="00A4168E" w:rsidRPr="009C1AD8" w14:paraId="6FF1E1F0" w14:textId="77777777" w:rsidTr="00A4168E">
        <w:trPr>
          <w:trHeight w:val="286"/>
        </w:trPr>
        <w:tc>
          <w:tcPr>
            <w:tcW w:w="0" w:type="auto"/>
            <w:vMerge/>
            <w:shd w:val="clear" w:color="auto" w:fill="auto"/>
            <w:vAlign w:val="center"/>
          </w:tcPr>
          <w:p w14:paraId="75032CC4"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15D960E1"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4F664D0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10vs2</w:t>
            </w:r>
          </w:p>
        </w:tc>
        <w:tc>
          <w:tcPr>
            <w:tcW w:w="642" w:type="dxa"/>
            <w:shd w:val="clear" w:color="auto" w:fill="auto"/>
          </w:tcPr>
          <w:p w14:paraId="22A54B8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3A50236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0.34</w:t>
            </w:r>
          </w:p>
        </w:tc>
        <w:tc>
          <w:tcPr>
            <w:tcW w:w="1238" w:type="dxa"/>
            <w:shd w:val="clear" w:color="auto" w:fill="auto"/>
          </w:tcPr>
          <w:p w14:paraId="2F6C308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0.21; 0.45</w:t>
            </w:r>
          </w:p>
        </w:tc>
        <w:tc>
          <w:tcPr>
            <w:tcW w:w="764" w:type="dxa"/>
            <w:shd w:val="clear" w:color="auto" w:fill="auto"/>
          </w:tcPr>
          <w:p w14:paraId="648F087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-0.24</w:t>
            </w:r>
          </w:p>
        </w:tc>
        <w:tc>
          <w:tcPr>
            <w:tcW w:w="1192" w:type="dxa"/>
            <w:shd w:val="clear" w:color="auto" w:fill="auto"/>
          </w:tcPr>
          <w:p w14:paraId="5E4440A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-0.53; 0.07</w:t>
            </w:r>
          </w:p>
        </w:tc>
        <w:tc>
          <w:tcPr>
            <w:tcW w:w="1419" w:type="dxa"/>
            <w:shd w:val="clear" w:color="auto" w:fill="auto"/>
          </w:tcPr>
          <w:p w14:paraId="7B72145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0.82 (&lt; 0.01)</w:t>
            </w:r>
          </w:p>
        </w:tc>
        <w:tc>
          <w:tcPr>
            <w:tcW w:w="1697" w:type="dxa"/>
            <w:shd w:val="clear" w:color="auto" w:fill="auto"/>
          </w:tcPr>
          <w:p w14:paraId="6282881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-18.85 (&lt; 0.01)</w:t>
            </w:r>
          </w:p>
        </w:tc>
        <w:tc>
          <w:tcPr>
            <w:tcW w:w="1760" w:type="dxa"/>
          </w:tcPr>
          <w:p w14:paraId="44AB052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-1.6, </w:t>
            </w:r>
            <w:r w:rsidRPr="009C1AD8">
              <w:rPr>
                <w:rFonts w:ascii="Cambria" w:hAnsi="Cambria"/>
                <w:i/>
                <w:sz w:val="12"/>
                <w:szCs w:val="12"/>
                <w:lang w:val="en-GB"/>
              </w:rPr>
              <w:t>large</w:t>
            </w:r>
          </w:p>
        </w:tc>
      </w:tr>
      <w:tr w:rsidR="00A4168E" w:rsidRPr="009C1AD8" w14:paraId="0C9C5911" w14:textId="77777777" w:rsidTr="00A4168E">
        <w:trPr>
          <w:trHeight w:val="286"/>
        </w:trPr>
        <w:tc>
          <w:tcPr>
            <w:tcW w:w="0" w:type="auto"/>
            <w:vMerge/>
            <w:shd w:val="clear" w:color="auto" w:fill="auto"/>
            <w:vAlign w:val="center"/>
          </w:tcPr>
          <w:p w14:paraId="2D75B18B"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1728F6FE"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19982B6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10vs1</w:t>
            </w:r>
          </w:p>
        </w:tc>
        <w:tc>
          <w:tcPr>
            <w:tcW w:w="642" w:type="dxa"/>
            <w:shd w:val="clear" w:color="auto" w:fill="auto"/>
          </w:tcPr>
          <w:p w14:paraId="7DC663B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3EED288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0.15</w:t>
            </w:r>
          </w:p>
        </w:tc>
        <w:tc>
          <w:tcPr>
            <w:tcW w:w="1238" w:type="dxa"/>
            <w:shd w:val="clear" w:color="auto" w:fill="auto"/>
          </w:tcPr>
          <w:p w14:paraId="2B384EA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0.02; 0.28</w:t>
            </w:r>
          </w:p>
        </w:tc>
        <w:tc>
          <w:tcPr>
            <w:tcW w:w="764" w:type="dxa"/>
            <w:shd w:val="clear" w:color="auto" w:fill="auto"/>
          </w:tcPr>
          <w:p w14:paraId="2A2E62C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-0.52</w:t>
            </w:r>
          </w:p>
        </w:tc>
        <w:tc>
          <w:tcPr>
            <w:tcW w:w="1192" w:type="dxa"/>
            <w:shd w:val="clear" w:color="auto" w:fill="auto"/>
          </w:tcPr>
          <w:p w14:paraId="5090BE7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-1.21; 0.17</w:t>
            </w:r>
          </w:p>
        </w:tc>
        <w:tc>
          <w:tcPr>
            <w:tcW w:w="1419" w:type="dxa"/>
            <w:shd w:val="clear" w:color="auto" w:fill="auto"/>
          </w:tcPr>
          <w:p w14:paraId="5BE7C85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0.72 (&lt; 0.01)</w:t>
            </w:r>
          </w:p>
        </w:tc>
        <w:tc>
          <w:tcPr>
            <w:tcW w:w="1697" w:type="dxa"/>
            <w:shd w:val="clear" w:color="auto" w:fill="auto"/>
          </w:tcPr>
          <w:p w14:paraId="65FD03F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-18.73 (&lt; 0.01)</w:t>
            </w:r>
          </w:p>
        </w:tc>
        <w:tc>
          <w:tcPr>
            <w:tcW w:w="1760" w:type="dxa"/>
          </w:tcPr>
          <w:p w14:paraId="368E4FE8"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-1.59, </w:t>
            </w:r>
            <w:r w:rsidRPr="009C1AD8">
              <w:rPr>
                <w:rFonts w:ascii="Cambria" w:hAnsi="Cambria"/>
                <w:i/>
                <w:sz w:val="12"/>
                <w:szCs w:val="12"/>
                <w:lang w:val="en-GB"/>
              </w:rPr>
              <w:t>large</w:t>
            </w:r>
          </w:p>
        </w:tc>
      </w:tr>
      <w:tr w:rsidR="00A4168E" w:rsidRPr="009C1AD8" w14:paraId="04C7FBC0" w14:textId="77777777" w:rsidTr="00A4168E">
        <w:trPr>
          <w:trHeight w:val="286"/>
        </w:trPr>
        <w:tc>
          <w:tcPr>
            <w:tcW w:w="0" w:type="auto"/>
            <w:vMerge/>
            <w:shd w:val="clear" w:color="auto" w:fill="auto"/>
            <w:vAlign w:val="center"/>
          </w:tcPr>
          <w:p w14:paraId="65119639"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6EBCF99F"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62C13EB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4vs2</w:t>
            </w:r>
          </w:p>
        </w:tc>
        <w:tc>
          <w:tcPr>
            <w:tcW w:w="642" w:type="dxa"/>
            <w:shd w:val="clear" w:color="auto" w:fill="auto"/>
          </w:tcPr>
          <w:p w14:paraId="2A8F2F4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5215468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0.65</w:t>
            </w:r>
          </w:p>
        </w:tc>
        <w:tc>
          <w:tcPr>
            <w:tcW w:w="1238" w:type="dxa"/>
            <w:shd w:val="clear" w:color="auto" w:fill="auto"/>
          </w:tcPr>
          <w:p w14:paraId="153F886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0.57; 0.73</w:t>
            </w:r>
          </w:p>
        </w:tc>
        <w:tc>
          <w:tcPr>
            <w:tcW w:w="764" w:type="dxa"/>
            <w:shd w:val="clear" w:color="auto" w:fill="auto"/>
          </w:tcPr>
          <w:p w14:paraId="4161A03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-0.15</w:t>
            </w:r>
          </w:p>
        </w:tc>
        <w:tc>
          <w:tcPr>
            <w:tcW w:w="1192" w:type="dxa"/>
            <w:shd w:val="clear" w:color="auto" w:fill="auto"/>
          </w:tcPr>
          <w:p w14:paraId="594BC63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 0.1</w:t>
            </w:r>
          </w:p>
        </w:tc>
        <w:tc>
          <w:tcPr>
            <w:tcW w:w="1419" w:type="dxa"/>
            <w:shd w:val="clear" w:color="auto" w:fill="auto"/>
          </w:tcPr>
          <w:p w14:paraId="4B00890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0.82 (&lt; 0.01)</w:t>
            </w:r>
          </w:p>
        </w:tc>
        <w:tc>
          <w:tcPr>
            <w:tcW w:w="1697" w:type="dxa"/>
            <w:shd w:val="clear" w:color="auto" w:fill="auto"/>
          </w:tcPr>
          <w:p w14:paraId="6E95588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-14.99 (&lt; 0.01)</w:t>
            </w:r>
          </w:p>
        </w:tc>
        <w:tc>
          <w:tcPr>
            <w:tcW w:w="1760" w:type="dxa"/>
          </w:tcPr>
          <w:p w14:paraId="72716F4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-1.27, </w:t>
            </w:r>
            <w:r w:rsidRPr="009C1AD8">
              <w:rPr>
                <w:rFonts w:ascii="Cambria" w:hAnsi="Cambria"/>
                <w:i/>
                <w:sz w:val="12"/>
                <w:szCs w:val="12"/>
                <w:lang w:val="en-GB"/>
              </w:rPr>
              <w:t>large</w:t>
            </w:r>
          </w:p>
        </w:tc>
      </w:tr>
      <w:tr w:rsidR="00A4168E" w:rsidRPr="009C1AD8" w14:paraId="6C680D63" w14:textId="77777777" w:rsidTr="00A4168E">
        <w:trPr>
          <w:trHeight w:val="286"/>
        </w:trPr>
        <w:tc>
          <w:tcPr>
            <w:tcW w:w="0" w:type="auto"/>
            <w:vMerge/>
            <w:shd w:val="clear" w:color="auto" w:fill="auto"/>
            <w:vAlign w:val="center"/>
          </w:tcPr>
          <w:p w14:paraId="0711A455"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4ADA1177"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2ADCF21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4vs1</w:t>
            </w:r>
          </w:p>
        </w:tc>
        <w:tc>
          <w:tcPr>
            <w:tcW w:w="642" w:type="dxa"/>
            <w:shd w:val="clear" w:color="auto" w:fill="auto"/>
          </w:tcPr>
          <w:p w14:paraId="79408A3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3C023CD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0.37</w:t>
            </w:r>
          </w:p>
        </w:tc>
        <w:tc>
          <w:tcPr>
            <w:tcW w:w="1238" w:type="dxa"/>
            <w:shd w:val="clear" w:color="auto" w:fill="auto"/>
          </w:tcPr>
          <w:p w14:paraId="3CE5B3A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0.25; 0.48</w:t>
            </w:r>
          </w:p>
        </w:tc>
        <w:tc>
          <w:tcPr>
            <w:tcW w:w="764" w:type="dxa"/>
            <w:shd w:val="clear" w:color="auto" w:fill="auto"/>
          </w:tcPr>
          <w:p w14:paraId="53296DB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-0.43</w:t>
            </w:r>
          </w:p>
        </w:tc>
        <w:tc>
          <w:tcPr>
            <w:tcW w:w="1192" w:type="dxa"/>
            <w:shd w:val="clear" w:color="auto" w:fill="auto"/>
          </w:tcPr>
          <w:p w14:paraId="77642A0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-1.04; 0.18</w:t>
            </w:r>
          </w:p>
        </w:tc>
        <w:tc>
          <w:tcPr>
            <w:tcW w:w="1419" w:type="dxa"/>
            <w:shd w:val="clear" w:color="auto" w:fill="auto"/>
          </w:tcPr>
          <w:p w14:paraId="58AE239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0.79 (&lt; 0.01)</w:t>
            </w:r>
          </w:p>
        </w:tc>
        <w:tc>
          <w:tcPr>
            <w:tcW w:w="1697" w:type="dxa"/>
            <w:shd w:val="clear" w:color="auto" w:fill="auto"/>
          </w:tcPr>
          <w:p w14:paraId="2B9937A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-17.59 (&lt; 0.01)</w:t>
            </w:r>
          </w:p>
        </w:tc>
        <w:tc>
          <w:tcPr>
            <w:tcW w:w="1760" w:type="dxa"/>
          </w:tcPr>
          <w:p w14:paraId="2FF8873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-1.49, </w:t>
            </w:r>
            <w:r w:rsidRPr="009C1AD8">
              <w:rPr>
                <w:rFonts w:ascii="Cambria" w:hAnsi="Cambria"/>
                <w:i/>
                <w:sz w:val="12"/>
                <w:szCs w:val="12"/>
                <w:lang w:val="en-GB"/>
              </w:rPr>
              <w:t>large</w:t>
            </w:r>
          </w:p>
        </w:tc>
      </w:tr>
      <w:tr w:rsidR="00A4168E" w:rsidRPr="009C1AD8" w14:paraId="3E16B4C8" w14:textId="77777777" w:rsidTr="00A4168E">
        <w:trPr>
          <w:trHeight w:val="286"/>
        </w:trPr>
        <w:tc>
          <w:tcPr>
            <w:tcW w:w="0" w:type="auto"/>
            <w:vMerge/>
            <w:shd w:val="clear" w:color="auto" w:fill="auto"/>
            <w:vAlign w:val="center"/>
          </w:tcPr>
          <w:p w14:paraId="6ED688F2"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3750A107"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2B3E5FC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2vs1</w:t>
            </w:r>
          </w:p>
        </w:tc>
        <w:tc>
          <w:tcPr>
            <w:tcW w:w="642" w:type="dxa"/>
            <w:shd w:val="clear" w:color="auto" w:fill="auto"/>
          </w:tcPr>
          <w:p w14:paraId="12ED7E7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3C1A141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0.42</w:t>
            </w:r>
          </w:p>
        </w:tc>
        <w:tc>
          <w:tcPr>
            <w:tcW w:w="1238" w:type="dxa"/>
            <w:shd w:val="clear" w:color="auto" w:fill="auto"/>
          </w:tcPr>
          <w:p w14:paraId="4F80B2C8"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 0.52</w:t>
            </w:r>
          </w:p>
        </w:tc>
        <w:tc>
          <w:tcPr>
            <w:tcW w:w="764" w:type="dxa"/>
            <w:shd w:val="clear" w:color="auto" w:fill="auto"/>
          </w:tcPr>
          <w:p w14:paraId="17577DF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-0.27</w:t>
            </w:r>
          </w:p>
        </w:tc>
        <w:tc>
          <w:tcPr>
            <w:tcW w:w="1192" w:type="dxa"/>
            <w:shd w:val="clear" w:color="auto" w:fill="auto"/>
          </w:tcPr>
          <w:p w14:paraId="1289633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-0.89; 0.35</w:t>
            </w:r>
          </w:p>
        </w:tc>
        <w:tc>
          <w:tcPr>
            <w:tcW w:w="1419" w:type="dxa"/>
            <w:shd w:val="clear" w:color="auto" w:fill="auto"/>
          </w:tcPr>
          <w:p w14:paraId="3BB0556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0.52 (&lt; 0.01)</w:t>
            </w:r>
          </w:p>
        </w:tc>
        <w:tc>
          <w:tcPr>
            <w:tcW w:w="1697" w:type="dxa"/>
            <w:shd w:val="clear" w:color="auto" w:fill="auto"/>
          </w:tcPr>
          <w:p w14:paraId="76C9262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-10.85 (&lt; 0.01)</w:t>
            </w:r>
          </w:p>
        </w:tc>
        <w:tc>
          <w:tcPr>
            <w:tcW w:w="1760" w:type="dxa"/>
          </w:tcPr>
          <w:p w14:paraId="1DC8DEC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-0.92, </w:t>
            </w:r>
            <w:r w:rsidRPr="009C1AD8">
              <w:rPr>
                <w:rFonts w:ascii="Cambria" w:hAnsi="Cambria"/>
                <w:i/>
                <w:sz w:val="12"/>
                <w:szCs w:val="12"/>
                <w:lang w:val="en-GB"/>
              </w:rPr>
              <w:t>moderate</w:t>
            </w:r>
          </w:p>
        </w:tc>
      </w:tr>
      <w:tr w:rsidR="00A4168E" w:rsidRPr="009C1AD8" w14:paraId="1C3B5EF0" w14:textId="77777777" w:rsidTr="00A4168E">
        <w:trPr>
          <w:trHeight w:val="286"/>
        </w:trPr>
        <w:tc>
          <w:tcPr>
            <w:tcW w:w="0" w:type="auto"/>
            <w:vMerge w:val="restart"/>
            <w:shd w:val="clear" w:color="auto" w:fill="auto"/>
            <w:vAlign w:val="center"/>
          </w:tcPr>
          <w:p w14:paraId="0822439D"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Task 3</w:t>
            </w:r>
          </w:p>
        </w:tc>
        <w:tc>
          <w:tcPr>
            <w:tcW w:w="2538" w:type="dxa"/>
            <w:vMerge w:val="restart"/>
            <w:shd w:val="clear" w:color="auto" w:fill="auto"/>
            <w:vAlign w:val="center"/>
          </w:tcPr>
          <w:p w14:paraId="2588812E" w14:textId="77777777" w:rsidR="00A4168E" w:rsidRPr="009C1AD8" w:rsidRDefault="00A4168E" w:rsidP="00A4168E">
            <w:pPr>
              <w:spacing w:before="60" w:after="60" w:line="360" w:lineRule="auto"/>
              <w:jc w:val="center"/>
              <w:rPr>
                <w:rFonts w:ascii="Cambria" w:hAnsi="Cambria"/>
                <w:sz w:val="12"/>
                <w:szCs w:val="12"/>
                <w:lang w:val="en-GB"/>
              </w:rPr>
            </w:pPr>
            <w:r w:rsidRPr="009C1AD8">
              <w:rPr>
                <w:rFonts w:ascii="Cambria" w:hAnsi="Cambria"/>
                <w:sz w:val="12"/>
                <w:szCs w:val="12"/>
                <w:lang w:val="en-GB"/>
              </w:rPr>
              <w:t>Change in Centroid (m)</w:t>
            </w:r>
          </w:p>
        </w:tc>
        <w:tc>
          <w:tcPr>
            <w:tcW w:w="2151" w:type="dxa"/>
            <w:shd w:val="clear" w:color="auto" w:fill="auto"/>
          </w:tcPr>
          <w:p w14:paraId="00D07C7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10vs4</w:t>
            </w:r>
          </w:p>
        </w:tc>
        <w:tc>
          <w:tcPr>
            <w:tcW w:w="642" w:type="dxa"/>
            <w:shd w:val="clear" w:color="auto" w:fill="auto"/>
          </w:tcPr>
          <w:p w14:paraId="5943579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07831EF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0.49</w:t>
            </w:r>
          </w:p>
        </w:tc>
        <w:tc>
          <w:tcPr>
            <w:tcW w:w="1238" w:type="dxa"/>
            <w:shd w:val="clear" w:color="auto" w:fill="auto"/>
          </w:tcPr>
          <w:p w14:paraId="4C4774A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-0.055; 0.75</w:t>
            </w:r>
          </w:p>
        </w:tc>
        <w:tc>
          <w:tcPr>
            <w:tcW w:w="764" w:type="dxa"/>
            <w:shd w:val="clear" w:color="auto" w:fill="auto"/>
          </w:tcPr>
          <w:p w14:paraId="6C53B1E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-0.081</w:t>
            </w:r>
          </w:p>
        </w:tc>
        <w:tc>
          <w:tcPr>
            <w:tcW w:w="1192" w:type="dxa"/>
            <w:shd w:val="clear" w:color="auto" w:fill="auto"/>
          </w:tcPr>
          <w:p w14:paraId="61DC55A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-0.19; 0.03</w:t>
            </w:r>
          </w:p>
        </w:tc>
        <w:tc>
          <w:tcPr>
            <w:tcW w:w="1419" w:type="dxa"/>
            <w:shd w:val="clear" w:color="auto" w:fill="auto"/>
          </w:tcPr>
          <w:p w14:paraId="5CCE37F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0.98 (&lt; 0.01)</w:t>
            </w:r>
          </w:p>
        </w:tc>
        <w:tc>
          <w:tcPr>
            <w:tcW w:w="1697" w:type="dxa"/>
            <w:shd w:val="clear" w:color="auto" w:fill="auto"/>
          </w:tcPr>
          <w:p w14:paraId="6E44D75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-21.46 (&lt; 0.01)</w:t>
            </w:r>
          </w:p>
        </w:tc>
        <w:tc>
          <w:tcPr>
            <w:tcW w:w="1760" w:type="dxa"/>
          </w:tcPr>
          <w:p w14:paraId="620606A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-1.82, </w:t>
            </w:r>
            <w:r w:rsidRPr="009C1AD8">
              <w:rPr>
                <w:rFonts w:ascii="Cambria" w:hAnsi="Cambria"/>
                <w:i/>
                <w:sz w:val="12"/>
                <w:szCs w:val="12"/>
                <w:lang w:val="en-GB"/>
              </w:rPr>
              <w:t>large</w:t>
            </w:r>
          </w:p>
        </w:tc>
      </w:tr>
      <w:tr w:rsidR="00A4168E" w:rsidRPr="009C1AD8" w14:paraId="1F516716" w14:textId="77777777" w:rsidTr="00A4168E">
        <w:trPr>
          <w:trHeight w:val="286"/>
        </w:trPr>
        <w:tc>
          <w:tcPr>
            <w:tcW w:w="0" w:type="auto"/>
            <w:vMerge/>
            <w:shd w:val="clear" w:color="auto" w:fill="auto"/>
            <w:vAlign w:val="center"/>
          </w:tcPr>
          <w:p w14:paraId="2CB5DE3A"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581B2405"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2441C29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10vs2</w:t>
            </w:r>
          </w:p>
        </w:tc>
        <w:tc>
          <w:tcPr>
            <w:tcW w:w="642" w:type="dxa"/>
            <w:shd w:val="clear" w:color="auto" w:fill="auto"/>
          </w:tcPr>
          <w:p w14:paraId="09D1D3A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51B0554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0.20</w:t>
            </w:r>
          </w:p>
        </w:tc>
        <w:tc>
          <w:tcPr>
            <w:tcW w:w="1238" w:type="dxa"/>
            <w:shd w:val="clear" w:color="auto" w:fill="auto"/>
          </w:tcPr>
          <w:p w14:paraId="74C4487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-0.07; 0.43</w:t>
            </w:r>
          </w:p>
        </w:tc>
        <w:tc>
          <w:tcPr>
            <w:tcW w:w="764" w:type="dxa"/>
            <w:shd w:val="clear" w:color="auto" w:fill="auto"/>
          </w:tcPr>
          <w:p w14:paraId="291C64C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-0.21</w:t>
            </w:r>
          </w:p>
        </w:tc>
        <w:tc>
          <w:tcPr>
            <w:tcW w:w="1192" w:type="dxa"/>
            <w:shd w:val="clear" w:color="auto" w:fill="auto"/>
          </w:tcPr>
          <w:p w14:paraId="4154049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-0.51; 0.09</w:t>
            </w:r>
          </w:p>
        </w:tc>
        <w:tc>
          <w:tcPr>
            <w:tcW w:w="1419" w:type="dxa"/>
            <w:shd w:val="clear" w:color="auto" w:fill="auto"/>
          </w:tcPr>
          <w:p w14:paraId="4F40A87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0.92 (&lt; 0.01)</w:t>
            </w:r>
          </w:p>
        </w:tc>
        <w:tc>
          <w:tcPr>
            <w:tcW w:w="1697" w:type="dxa"/>
            <w:shd w:val="clear" w:color="auto" w:fill="auto"/>
          </w:tcPr>
          <w:p w14:paraId="7E8C8D8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-21.13 (&lt; 0.01)</w:t>
            </w:r>
          </w:p>
        </w:tc>
        <w:tc>
          <w:tcPr>
            <w:tcW w:w="1760" w:type="dxa"/>
          </w:tcPr>
          <w:p w14:paraId="711DCD1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-1.79, </w:t>
            </w:r>
            <w:r w:rsidRPr="009C1AD8">
              <w:rPr>
                <w:rFonts w:ascii="Cambria" w:hAnsi="Cambria"/>
                <w:i/>
                <w:sz w:val="12"/>
                <w:szCs w:val="12"/>
                <w:lang w:val="en-GB"/>
              </w:rPr>
              <w:t>large</w:t>
            </w:r>
          </w:p>
        </w:tc>
      </w:tr>
      <w:tr w:rsidR="00A4168E" w:rsidRPr="009C1AD8" w14:paraId="0359A44A" w14:textId="77777777" w:rsidTr="00A4168E">
        <w:trPr>
          <w:trHeight w:val="286"/>
        </w:trPr>
        <w:tc>
          <w:tcPr>
            <w:tcW w:w="0" w:type="auto"/>
            <w:vMerge/>
            <w:shd w:val="clear" w:color="auto" w:fill="auto"/>
            <w:vAlign w:val="center"/>
          </w:tcPr>
          <w:p w14:paraId="10EC8359"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5C77A454"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74E810C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10vs1</w:t>
            </w:r>
          </w:p>
        </w:tc>
        <w:tc>
          <w:tcPr>
            <w:tcW w:w="642" w:type="dxa"/>
            <w:shd w:val="clear" w:color="auto" w:fill="auto"/>
          </w:tcPr>
          <w:p w14:paraId="05D9134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73C4D12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0.07</w:t>
            </w:r>
          </w:p>
        </w:tc>
        <w:tc>
          <w:tcPr>
            <w:tcW w:w="1238" w:type="dxa"/>
            <w:shd w:val="clear" w:color="auto" w:fill="auto"/>
          </w:tcPr>
          <w:p w14:paraId="60996B0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-0.04; 0.18</w:t>
            </w:r>
          </w:p>
        </w:tc>
        <w:tc>
          <w:tcPr>
            <w:tcW w:w="764" w:type="dxa"/>
            <w:shd w:val="clear" w:color="auto" w:fill="auto"/>
          </w:tcPr>
          <w:p w14:paraId="78AC216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-0.45</w:t>
            </w:r>
          </w:p>
        </w:tc>
        <w:tc>
          <w:tcPr>
            <w:tcW w:w="1192" w:type="dxa"/>
            <w:shd w:val="clear" w:color="auto" w:fill="auto"/>
          </w:tcPr>
          <w:p w14:paraId="7E89F37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-1.16; 0.26</w:t>
            </w:r>
          </w:p>
        </w:tc>
        <w:tc>
          <w:tcPr>
            <w:tcW w:w="1419" w:type="dxa"/>
            <w:shd w:val="clear" w:color="auto" w:fill="auto"/>
          </w:tcPr>
          <w:p w14:paraId="0D4DD2B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0.66 (&lt; 0.01)</w:t>
            </w:r>
          </w:p>
        </w:tc>
        <w:tc>
          <w:tcPr>
            <w:tcW w:w="1697" w:type="dxa"/>
            <w:shd w:val="clear" w:color="auto" w:fill="auto"/>
          </w:tcPr>
          <w:p w14:paraId="7D991F5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-19.59 (&lt; 0.01)</w:t>
            </w:r>
          </w:p>
        </w:tc>
        <w:tc>
          <w:tcPr>
            <w:tcW w:w="1760" w:type="dxa"/>
          </w:tcPr>
          <w:p w14:paraId="7653AE7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-1.66, </w:t>
            </w:r>
            <w:r w:rsidRPr="009C1AD8">
              <w:rPr>
                <w:rFonts w:ascii="Cambria" w:hAnsi="Cambria"/>
                <w:i/>
                <w:sz w:val="12"/>
                <w:szCs w:val="12"/>
                <w:lang w:val="en-GB"/>
              </w:rPr>
              <w:t>large</w:t>
            </w:r>
          </w:p>
        </w:tc>
      </w:tr>
      <w:tr w:rsidR="00A4168E" w:rsidRPr="009C1AD8" w14:paraId="6E792D37" w14:textId="77777777" w:rsidTr="00A4168E">
        <w:trPr>
          <w:trHeight w:val="286"/>
        </w:trPr>
        <w:tc>
          <w:tcPr>
            <w:tcW w:w="0" w:type="auto"/>
            <w:vMerge/>
            <w:shd w:val="clear" w:color="auto" w:fill="auto"/>
            <w:vAlign w:val="center"/>
          </w:tcPr>
          <w:p w14:paraId="21006B40"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281F2ADA"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4EBBB44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4vs2</w:t>
            </w:r>
          </w:p>
        </w:tc>
        <w:tc>
          <w:tcPr>
            <w:tcW w:w="642" w:type="dxa"/>
            <w:shd w:val="clear" w:color="auto" w:fill="auto"/>
          </w:tcPr>
          <w:p w14:paraId="1200D64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45290F4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0.61</w:t>
            </w:r>
          </w:p>
        </w:tc>
        <w:tc>
          <w:tcPr>
            <w:tcW w:w="1238" w:type="dxa"/>
            <w:shd w:val="clear" w:color="auto" w:fill="auto"/>
          </w:tcPr>
          <w:p w14:paraId="533BD41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0.003; 0.83</w:t>
            </w:r>
          </w:p>
        </w:tc>
        <w:tc>
          <w:tcPr>
            <w:tcW w:w="764" w:type="dxa"/>
            <w:shd w:val="clear" w:color="auto" w:fill="auto"/>
          </w:tcPr>
          <w:p w14:paraId="394419CC"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-0.13</w:t>
            </w:r>
          </w:p>
        </w:tc>
        <w:tc>
          <w:tcPr>
            <w:tcW w:w="1192" w:type="dxa"/>
            <w:shd w:val="clear" w:color="auto" w:fill="auto"/>
          </w:tcPr>
          <w:p w14:paraId="049E7DB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-0.31; 0.05</w:t>
            </w:r>
          </w:p>
        </w:tc>
        <w:tc>
          <w:tcPr>
            <w:tcW w:w="1419" w:type="dxa"/>
            <w:shd w:val="clear" w:color="auto" w:fill="auto"/>
          </w:tcPr>
          <w:p w14:paraId="4F4A2182"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0.96 (&lt; 0.01)</w:t>
            </w:r>
          </w:p>
        </w:tc>
        <w:tc>
          <w:tcPr>
            <w:tcW w:w="1697" w:type="dxa"/>
            <w:shd w:val="clear" w:color="auto" w:fill="auto"/>
          </w:tcPr>
          <w:p w14:paraId="69F4695E"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-20.46 (&lt; 0.01)</w:t>
            </w:r>
          </w:p>
        </w:tc>
        <w:tc>
          <w:tcPr>
            <w:tcW w:w="1760" w:type="dxa"/>
          </w:tcPr>
          <w:p w14:paraId="607B1FA0"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-1.73, </w:t>
            </w:r>
            <w:r w:rsidRPr="009C1AD8">
              <w:rPr>
                <w:rFonts w:ascii="Cambria" w:hAnsi="Cambria"/>
                <w:i/>
                <w:sz w:val="12"/>
                <w:szCs w:val="12"/>
                <w:lang w:val="en-GB"/>
              </w:rPr>
              <w:t>large</w:t>
            </w:r>
          </w:p>
        </w:tc>
      </w:tr>
      <w:tr w:rsidR="00A4168E" w:rsidRPr="009C1AD8" w14:paraId="2F1AE44B" w14:textId="77777777" w:rsidTr="00A4168E">
        <w:trPr>
          <w:trHeight w:val="286"/>
        </w:trPr>
        <w:tc>
          <w:tcPr>
            <w:tcW w:w="0" w:type="auto"/>
            <w:vMerge/>
            <w:shd w:val="clear" w:color="auto" w:fill="auto"/>
            <w:vAlign w:val="center"/>
          </w:tcPr>
          <w:p w14:paraId="39C88CFE"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shd w:val="clear" w:color="auto" w:fill="auto"/>
            <w:vAlign w:val="center"/>
          </w:tcPr>
          <w:p w14:paraId="5DD5C968"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shd w:val="clear" w:color="auto" w:fill="auto"/>
          </w:tcPr>
          <w:p w14:paraId="6D9C928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4vs1</w:t>
            </w:r>
          </w:p>
        </w:tc>
        <w:tc>
          <w:tcPr>
            <w:tcW w:w="642" w:type="dxa"/>
            <w:shd w:val="clear" w:color="auto" w:fill="auto"/>
          </w:tcPr>
          <w:p w14:paraId="2AADB5D6"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shd w:val="clear" w:color="auto" w:fill="auto"/>
          </w:tcPr>
          <w:p w14:paraId="65258B2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0.21</w:t>
            </w:r>
          </w:p>
        </w:tc>
        <w:tc>
          <w:tcPr>
            <w:tcW w:w="1238" w:type="dxa"/>
            <w:shd w:val="clear" w:color="auto" w:fill="auto"/>
          </w:tcPr>
          <w:p w14:paraId="6C589B7A"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-0.04; 0.42</w:t>
            </w:r>
          </w:p>
        </w:tc>
        <w:tc>
          <w:tcPr>
            <w:tcW w:w="764" w:type="dxa"/>
            <w:shd w:val="clear" w:color="auto" w:fill="auto"/>
          </w:tcPr>
          <w:p w14:paraId="1E5193A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-0.37</w:t>
            </w:r>
          </w:p>
        </w:tc>
        <w:tc>
          <w:tcPr>
            <w:tcW w:w="1192" w:type="dxa"/>
            <w:shd w:val="clear" w:color="auto" w:fill="auto"/>
          </w:tcPr>
          <w:p w14:paraId="3A994827"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 0.26</w:t>
            </w:r>
          </w:p>
        </w:tc>
        <w:tc>
          <w:tcPr>
            <w:tcW w:w="1419" w:type="dxa"/>
            <w:shd w:val="clear" w:color="auto" w:fill="auto"/>
          </w:tcPr>
          <w:p w14:paraId="2571D0A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0.73 (&lt; 0.01)</w:t>
            </w:r>
          </w:p>
        </w:tc>
        <w:tc>
          <w:tcPr>
            <w:tcW w:w="1697" w:type="dxa"/>
            <w:shd w:val="clear" w:color="auto" w:fill="auto"/>
          </w:tcPr>
          <w:p w14:paraId="1A5E009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-18.02 (&lt; 0.01)</w:t>
            </w:r>
          </w:p>
        </w:tc>
        <w:tc>
          <w:tcPr>
            <w:tcW w:w="1760" w:type="dxa"/>
          </w:tcPr>
          <w:p w14:paraId="23487E1D"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-1.53, </w:t>
            </w:r>
            <w:r w:rsidRPr="009C1AD8">
              <w:rPr>
                <w:rFonts w:ascii="Cambria" w:hAnsi="Cambria"/>
                <w:i/>
                <w:sz w:val="12"/>
                <w:szCs w:val="12"/>
                <w:lang w:val="en-GB"/>
              </w:rPr>
              <w:t>large</w:t>
            </w:r>
          </w:p>
        </w:tc>
      </w:tr>
      <w:tr w:rsidR="00A4168E" w:rsidRPr="009C1AD8" w14:paraId="0E4B27DB" w14:textId="77777777" w:rsidTr="00A4168E">
        <w:trPr>
          <w:trHeight w:val="286"/>
        </w:trPr>
        <w:tc>
          <w:tcPr>
            <w:tcW w:w="0" w:type="auto"/>
            <w:vMerge/>
            <w:tcBorders>
              <w:bottom w:val="single" w:sz="4" w:space="0" w:color="auto"/>
            </w:tcBorders>
            <w:shd w:val="clear" w:color="auto" w:fill="auto"/>
            <w:vAlign w:val="center"/>
          </w:tcPr>
          <w:p w14:paraId="35B4EF35" w14:textId="77777777" w:rsidR="00A4168E" w:rsidRPr="009C1AD8" w:rsidRDefault="00A4168E" w:rsidP="00A4168E">
            <w:pPr>
              <w:spacing w:before="60" w:after="60" w:line="360" w:lineRule="auto"/>
              <w:jc w:val="center"/>
              <w:rPr>
                <w:rFonts w:ascii="Cambria" w:hAnsi="Cambria"/>
                <w:sz w:val="12"/>
                <w:szCs w:val="12"/>
                <w:lang w:val="en-GB"/>
              </w:rPr>
            </w:pPr>
          </w:p>
        </w:tc>
        <w:tc>
          <w:tcPr>
            <w:tcW w:w="2538" w:type="dxa"/>
            <w:vMerge/>
            <w:tcBorders>
              <w:bottom w:val="single" w:sz="4" w:space="0" w:color="auto"/>
            </w:tcBorders>
            <w:shd w:val="clear" w:color="auto" w:fill="auto"/>
            <w:vAlign w:val="center"/>
          </w:tcPr>
          <w:p w14:paraId="7949958C" w14:textId="77777777" w:rsidR="00A4168E" w:rsidRPr="009C1AD8" w:rsidRDefault="00A4168E" w:rsidP="00A4168E">
            <w:pPr>
              <w:spacing w:before="60" w:after="60" w:line="360" w:lineRule="auto"/>
              <w:jc w:val="center"/>
              <w:rPr>
                <w:rFonts w:ascii="Cambria" w:hAnsi="Cambria"/>
                <w:sz w:val="12"/>
                <w:szCs w:val="12"/>
                <w:lang w:val="en-GB"/>
              </w:rPr>
            </w:pPr>
          </w:p>
        </w:tc>
        <w:tc>
          <w:tcPr>
            <w:tcW w:w="2151" w:type="dxa"/>
            <w:tcBorders>
              <w:bottom w:val="single" w:sz="4" w:space="0" w:color="auto"/>
            </w:tcBorders>
            <w:shd w:val="clear" w:color="auto" w:fill="auto"/>
          </w:tcPr>
          <w:p w14:paraId="16FB1F2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2vs1</w:t>
            </w:r>
          </w:p>
        </w:tc>
        <w:tc>
          <w:tcPr>
            <w:tcW w:w="642" w:type="dxa"/>
            <w:tcBorders>
              <w:bottom w:val="single" w:sz="4" w:space="0" w:color="auto"/>
            </w:tcBorders>
            <w:shd w:val="clear" w:color="auto" w:fill="auto"/>
          </w:tcPr>
          <w:p w14:paraId="3AE63E2F"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300</w:t>
            </w:r>
          </w:p>
        </w:tc>
        <w:tc>
          <w:tcPr>
            <w:tcW w:w="729" w:type="dxa"/>
            <w:tcBorders>
              <w:bottom w:val="single" w:sz="4" w:space="0" w:color="auto"/>
            </w:tcBorders>
            <w:shd w:val="clear" w:color="auto" w:fill="auto"/>
          </w:tcPr>
          <w:p w14:paraId="2DEC5AF4"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0.54</w:t>
            </w:r>
          </w:p>
        </w:tc>
        <w:tc>
          <w:tcPr>
            <w:tcW w:w="1238" w:type="dxa"/>
            <w:tcBorders>
              <w:bottom w:val="single" w:sz="4" w:space="0" w:color="auto"/>
            </w:tcBorders>
            <w:shd w:val="clear" w:color="auto" w:fill="auto"/>
          </w:tcPr>
          <w:p w14:paraId="5F6A2039"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0.12; 0.75</w:t>
            </w:r>
          </w:p>
        </w:tc>
        <w:tc>
          <w:tcPr>
            <w:tcW w:w="764" w:type="dxa"/>
            <w:tcBorders>
              <w:bottom w:val="single" w:sz="4" w:space="0" w:color="auto"/>
            </w:tcBorders>
            <w:shd w:val="clear" w:color="auto" w:fill="auto"/>
          </w:tcPr>
          <w:p w14:paraId="056325E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-0.24</w:t>
            </w:r>
          </w:p>
        </w:tc>
        <w:tc>
          <w:tcPr>
            <w:tcW w:w="1192" w:type="dxa"/>
            <w:tcBorders>
              <w:bottom w:val="single" w:sz="4" w:space="0" w:color="auto"/>
            </w:tcBorders>
            <w:shd w:val="clear" w:color="auto" w:fill="auto"/>
          </w:tcPr>
          <w:p w14:paraId="47B166FB"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-0.71; 0.23</w:t>
            </w:r>
          </w:p>
        </w:tc>
        <w:tc>
          <w:tcPr>
            <w:tcW w:w="1419" w:type="dxa"/>
            <w:tcBorders>
              <w:bottom w:val="single" w:sz="4" w:space="0" w:color="auto"/>
            </w:tcBorders>
            <w:shd w:val="clear" w:color="auto" w:fill="auto"/>
          </w:tcPr>
          <w:p w14:paraId="7BC88C23"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0.85 (&lt; 0.01)</w:t>
            </w:r>
          </w:p>
        </w:tc>
        <w:tc>
          <w:tcPr>
            <w:tcW w:w="1697" w:type="dxa"/>
            <w:tcBorders>
              <w:bottom w:val="single" w:sz="4" w:space="0" w:color="auto"/>
            </w:tcBorders>
            <w:shd w:val="clear" w:color="auto" w:fill="auto"/>
          </w:tcPr>
          <w:p w14:paraId="57B51C91"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-15.23 (&lt; 0.01)</w:t>
            </w:r>
          </w:p>
        </w:tc>
        <w:tc>
          <w:tcPr>
            <w:tcW w:w="1760" w:type="dxa"/>
            <w:tcBorders>
              <w:bottom w:val="single" w:sz="4" w:space="0" w:color="auto"/>
            </w:tcBorders>
          </w:tcPr>
          <w:p w14:paraId="5A15B845" w14:textId="77777777" w:rsidR="00A4168E" w:rsidRPr="009C1AD8" w:rsidRDefault="00A4168E" w:rsidP="00A4168E">
            <w:pPr>
              <w:spacing w:before="60" w:after="60" w:line="360" w:lineRule="auto"/>
              <w:rPr>
                <w:rFonts w:ascii="Cambria" w:hAnsi="Cambria"/>
                <w:sz w:val="12"/>
                <w:szCs w:val="12"/>
                <w:lang w:val="en-GB"/>
              </w:rPr>
            </w:pPr>
            <w:r w:rsidRPr="009C1AD8">
              <w:rPr>
                <w:rFonts w:ascii="Cambria" w:hAnsi="Cambria"/>
                <w:sz w:val="12"/>
                <w:szCs w:val="12"/>
                <w:lang w:val="en-GB"/>
              </w:rPr>
              <w:t xml:space="preserve">-1.29, </w:t>
            </w:r>
            <w:r w:rsidRPr="009C1AD8">
              <w:rPr>
                <w:rFonts w:ascii="Cambria" w:hAnsi="Cambria"/>
                <w:i/>
                <w:sz w:val="12"/>
                <w:szCs w:val="12"/>
                <w:lang w:val="en-GB"/>
              </w:rPr>
              <w:t>large</w:t>
            </w:r>
          </w:p>
        </w:tc>
      </w:tr>
      <w:tr w:rsidR="00A4168E" w:rsidRPr="009C1AD8" w14:paraId="0902A7E1" w14:textId="77777777" w:rsidTr="00A4168E">
        <w:trPr>
          <w:trHeight w:val="286"/>
        </w:trPr>
        <w:tc>
          <w:tcPr>
            <w:tcW w:w="14670" w:type="dxa"/>
            <w:gridSpan w:val="11"/>
            <w:tcBorders>
              <w:top w:val="single" w:sz="4" w:space="0" w:color="auto"/>
            </w:tcBorders>
            <w:shd w:val="clear" w:color="auto" w:fill="auto"/>
            <w:vAlign w:val="center"/>
          </w:tcPr>
          <w:p w14:paraId="7444A88A" w14:textId="77777777" w:rsidR="00A4168E" w:rsidRPr="009C1AD8" w:rsidRDefault="00A4168E" w:rsidP="00A4168E">
            <w:pPr>
              <w:spacing w:line="480" w:lineRule="auto"/>
              <w:jc w:val="both"/>
              <w:rPr>
                <w:rFonts w:ascii="Cambria" w:hAnsi="Cambria"/>
                <w:sz w:val="20"/>
                <w:szCs w:val="20"/>
                <w:lang w:val="en-GB"/>
              </w:rPr>
            </w:pPr>
            <w:r w:rsidRPr="009C1AD8">
              <w:rPr>
                <w:rFonts w:ascii="Cambria" w:hAnsi="Cambria"/>
                <w:sz w:val="20"/>
                <w:szCs w:val="20"/>
                <w:lang w:val="en-GB"/>
              </w:rPr>
              <w:t xml:space="preserve">Hz: Hertz; M: metres; p: p value; r: Pearson r; t: t test; %: percentage </w:t>
            </w:r>
          </w:p>
        </w:tc>
      </w:tr>
    </w:tbl>
    <w:p w14:paraId="45EF0C06" w14:textId="77777777" w:rsidR="00A4168E" w:rsidRPr="009C1AD8" w:rsidRDefault="00A4168E">
      <w:pPr>
        <w:suppressAutoHyphens w:val="0"/>
        <w:rPr>
          <w:rFonts w:ascii="Cambria" w:eastAsia="Cambria" w:hAnsi="Cambria" w:cs="Cambria"/>
          <w:b/>
          <w:color w:val="000000"/>
          <w:sz w:val="22"/>
          <w:szCs w:val="22"/>
        </w:rPr>
        <w:sectPr w:rsidR="00A4168E" w:rsidRPr="009C1AD8" w:rsidSect="00A4168E">
          <w:pgSz w:w="16837" w:h="11905" w:orient="landscape"/>
          <w:pgMar w:top="1418" w:right="1418" w:bottom="1134" w:left="1134" w:header="567" w:footer="720" w:gutter="0"/>
          <w:pgNumType w:start="1"/>
          <w:cols w:space="720"/>
          <w:titlePg/>
        </w:sectPr>
      </w:pPr>
    </w:p>
    <w:p w14:paraId="7EAD1F3D" w14:textId="77777777" w:rsidR="00873A87" w:rsidRPr="009C1AD8" w:rsidRDefault="00873A87" w:rsidP="00873A87">
      <w:pPr>
        <w:pStyle w:val="Caption"/>
        <w:keepNext/>
        <w:spacing w:line="480" w:lineRule="auto"/>
        <w:jc w:val="center"/>
        <w:rPr>
          <w:rFonts w:ascii="Cambria" w:hAnsi="Cambria"/>
          <w:i w:val="0"/>
          <w:sz w:val="20"/>
          <w:szCs w:val="20"/>
        </w:rPr>
      </w:pPr>
      <w:bookmarkStart w:id="27" w:name="_Toc37333270"/>
      <w:r w:rsidRPr="009C1AD8">
        <w:rPr>
          <w:rFonts w:ascii="Cambria" w:hAnsi="Cambria"/>
          <w:b/>
          <w:i w:val="0"/>
          <w:sz w:val="20"/>
          <w:szCs w:val="20"/>
        </w:rPr>
        <w:lastRenderedPageBreak/>
        <w:t>Table 2.</w:t>
      </w:r>
      <w:r w:rsidRPr="009C1AD8">
        <w:rPr>
          <w:rFonts w:ascii="Cambria" w:hAnsi="Cambria"/>
          <w:i w:val="0"/>
          <w:sz w:val="20"/>
          <w:szCs w:val="20"/>
        </w:rPr>
        <w:t xml:space="preserve"> Intra-class Correlation Coefficient, Linear Correlation and mean comparison of total area (TA) by </w:t>
      </w:r>
      <w:bookmarkEnd w:id="27"/>
      <w:r w:rsidRPr="009C1AD8">
        <w:rPr>
          <w:rFonts w:ascii="Cambria" w:hAnsi="Cambria"/>
          <w:i w:val="0"/>
          <w:sz w:val="20"/>
          <w:szCs w:val="20"/>
        </w:rPr>
        <w:t>sampling frequency</w:t>
      </w:r>
    </w:p>
    <w:tbl>
      <w:tblPr>
        <w:tblW w:w="14884" w:type="dxa"/>
        <w:tblBorders>
          <w:top w:val="single" w:sz="4" w:space="0" w:color="auto"/>
          <w:bottom w:val="single" w:sz="4" w:space="0" w:color="auto"/>
        </w:tblBorders>
        <w:tblLook w:val="04A0" w:firstRow="1" w:lastRow="0" w:firstColumn="1" w:lastColumn="0" w:noHBand="0" w:noVBand="1"/>
      </w:tblPr>
      <w:tblGrid>
        <w:gridCol w:w="594"/>
        <w:gridCol w:w="1752"/>
        <w:gridCol w:w="2162"/>
        <w:gridCol w:w="641"/>
        <w:gridCol w:w="728"/>
        <w:gridCol w:w="1167"/>
        <w:gridCol w:w="797"/>
        <w:gridCol w:w="1635"/>
        <w:gridCol w:w="1469"/>
        <w:gridCol w:w="2166"/>
        <w:gridCol w:w="1773"/>
      </w:tblGrid>
      <w:tr w:rsidR="00873A87" w:rsidRPr="009C1AD8" w14:paraId="5769A89A" w14:textId="77777777" w:rsidTr="00DF6BD4">
        <w:trPr>
          <w:trHeight w:val="428"/>
        </w:trPr>
        <w:tc>
          <w:tcPr>
            <w:tcW w:w="0" w:type="auto"/>
            <w:tcBorders>
              <w:top w:val="single" w:sz="4" w:space="0" w:color="auto"/>
              <w:bottom w:val="single" w:sz="4" w:space="0" w:color="auto"/>
            </w:tcBorders>
            <w:shd w:val="clear" w:color="auto" w:fill="auto"/>
          </w:tcPr>
          <w:p w14:paraId="529457ED"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Task</w:t>
            </w:r>
          </w:p>
        </w:tc>
        <w:tc>
          <w:tcPr>
            <w:tcW w:w="1752" w:type="dxa"/>
            <w:tcBorders>
              <w:top w:val="single" w:sz="4" w:space="0" w:color="auto"/>
              <w:bottom w:val="single" w:sz="4" w:space="0" w:color="auto"/>
            </w:tcBorders>
            <w:shd w:val="clear" w:color="auto" w:fill="auto"/>
          </w:tcPr>
          <w:p w14:paraId="1FFE072D"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Variable</w:t>
            </w:r>
          </w:p>
        </w:tc>
        <w:tc>
          <w:tcPr>
            <w:tcW w:w="2162" w:type="dxa"/>
            <w:tcBorders>
              <w:top w:val="single" w:sz="4" w:space="0" w:color="auto"/>
              <w:bottom w:val="single" w:sz="4" w:space="0" w:color="auto"/>
            </w:tcBorders>
            <w:shd w:val="clear" w:color="auto" w:fill="auto"/>
          </w:tcPr>
          <w:p w14:paraId="6F66084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color w:val="222222"/>
                <w:sz w:val="14"/>
                <w:szCs w:val="14"/>
                <w:lang w:val="en-GB"/>
              </w:rPr>
              <w:t>Sampling frequencies</w:t>
            </w:r>
          </w:p>
        </w:tc>
        <w:tc>
          <w:tcPr>
            <w:tcW w:w="641" w:type="dxa"/>
            <w:tcBorders>
              <w:top w:val="single" w:sz="4" w:space="0" w:color="auto"/>
              <w:bottom w:val="single" w:sz="4" w:space="0" w:color="auto"/>
            </w:tcBorders>
            <w:shd w:val="clear" w:color="auto" w:fill="auto"/>
          </w:tcPr>
          <w:p w14:paraId="3858C88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N</w:t>
            </w:r>
          </w:p>
        </w:tc>
        <w:tc>
          <w:tcPr>
            <w:tcW w:w="728" w:type="dxa"/>
            <w:tcBorders>
              <w:top w:val="single" w:sz="4" w:space="0" w:color="auto"/>
              <w:bottom w:val="single" w:sz="4" w:space="0" w:color="auto"/>
            </w:tcBorders>
            <w:shd w:val="clear" w:color="auto" w:fill="auto"/>
          </w:tcPr>
          <w:p w14:paraId="41121EE3" w14:textId="77777777" w:rsidR="00873A87" w:rsidRPr="009C1AD8" w:rsidRDefault="00873A87" w:rsidP="00DF6BD4">
            <w:pPr>
              <w:spacing w:before="60" w:after="60" w:line="360" w:lineRule="auto"/>
              <w:rPr>
                <w:rFonts w:ascii="Cambria" w:eastAsia="Calibri" w:hAnsi="Cambria"/>
                <w:i/>
                <w:sz w:val="14"/>
                <w:szCs w:val="14"/>
                <w:lang w:val="en-GB"/>
              </w:rPr>
            </w:pPr>
            <w:r w:rsidRPr="009C1AD8">
              <w:rPr>
                <w:rFonts w:ascii="Cambria" w:eastAsia="Calibri" w:hAnsi="Cambria"/>
                <w:i/>
                <w:sz w:val="14"/>
                <w:szCs w:val="14"/>
                <w:lang w:val="en-GB"/>
              </w:rPr>
              <w:t xml:space="preserve">ICC </w:t>
            </w:r>
          </w:p>
        </w:tc>
        <w:tc>
          <w:tcPr>
            <w:tcW w:w="1167" w:type="dxa"/>
            <w:tcBorders>
              <w:top w:val="single" w:sz="4" w:space="0" w:color="auto"/>
              <w:bottom w:val="single" w:sz="4" w:space="0" w:color="auto"/>
            </w:tcBorders>
            <w:shd w:val="clear" w:color="auto" w:fill="auto"/>
          </w:tcPr>
          <w:p w14:paraId="6F37D29D" w14:textId="77777777" w:rsidR="00873A87" w:rsidRPr="009C1AD8" w:rsidRDefault="00873A87" w:rsidP="00DF6BD4">
            <w:pPr>
              <w:spacing w:before="60" w:after="60" w:line="360" w:lineRule="auto"/>
              <w:rPr>
                <w:rFonts w:ascii="Cambria" w:eastAsia="Calibri" w:hAnsi="Cambria"/>
                <w:i/>
                <w:sz w:val="14"/>
                <w:szCs w:val="14"/>
                <w:lang w:val="en-GB"/>
              </w:rPr>
            </w:pPr>
            <w:r w:rsidRPr="009C1AD8">
              <w:rPr>
                <w:rFonts w:ascii="Cambria" w:hAnsi="Cambria"/>
                <w:i/>
                <w:color w:val="000000"/>
                <w:sz w:val="14"/>
                <w:szCs w:val="14"/>
                <w:lang w:val="en-GB" w:eastAsia="es-CR"/>
              </w:rPr>
              <w:t>95% IC</w:t>
            </w:r>
            <w:r w:rsidRPr="009C1AD8">
              <w:rPr>
                <w:rFonts w:ascii="Cambria" w:eastAsia="Calibri" w:hAnsi="Cambria"/>
                <w:i/>
                <w:sz w:val="14"/>
                <w:szCs w:val="14"/>
                <w:lang w:val="en-GB"/>
              </w:rPr>
              <w:t xml:space="preserve"> </w:t>
            </w:r>
          </w:p>
        </w:tc>
        <w:tc>
          <w:tcPr>
            <w:tcW w:w="797" w:type="dxa"/>
            <w:tcBorders>
              <w:top w:val="single" w:sz="4" w:space="0" w:color="auto"/>
              <w:bottom w:val="single" w:sz="4" w:space="0" w:color="auto"/>
            </w:tcBorders>
            <w:shd w:val="clear" w:color="auto" w:fill="auto"/>
          </w:tcPr>
          <w:p w14:paraId="4B97BD4E" w14:textId="77777777" w:rsidR="00873A87" w:rsidRPr="009C1AD8" w:rsidRDefault="00873A87" w:rsidP="00DF6BD4">
            <w:pPr>
              <w:spacing w:before="60" w:after="60" w:line="360" w:lineRule="auto"/>
              <w:rPr>
                <w:rFonts w:ascii="Cambria" w:eastAsia="Calibri" w:hAnsi="Cambria"/>
                <w:i/>
                <w:sz w:val="14"/>
                <w:szCs w:val="14"/>
                <w:lang w:val="en-GB"/>
              </w:rPr>
            </w:pPr>
            <w:r w:rsidRPr="009C1AD8">
              <w:rPr>
                <w:rFonts w:ascii="Cambria" w:eastAsia="Calibri" w:hAnsi="Cambria"/>
                <w:i/>
                <w:sz w:val="14"/>
                <w:szCs w:val="14"/>
                <w:lang w:val="en-GB"/>
              </w:rPr>
              <w:t>BIAS</w:t>
            </w:r>
          </w:p>
        </w:tc>
        <w:tc>
          <w:tcPr>
            <w:tcW w:w="1635" w:type="dxa"/>
            <w:tcBorders>
              <w:top w:val="single" w:sz="4" w:space="0" w:color="auto"/>
              <w:bottom w:val="single" w:sz="4" w:space="0" w:color="auto"/>
            </w:tcBorders>
            <w:shd w:val="clear" w:color="auto" w:fill="auto"/>
          </w:tcPr>
          <w:p w14:paraId="1746454F" w14:textId="77777777" w:rsidR="00873A87" w:rsidRPr="009C1AD8" w:rsidRDefault="00873A87" w:rsidP="00DF6BD4">
            <w:pPr>
              <w:spacing w:before="60" w:after="60" w:line="360" w:lineRule="auto"/>
              <w:rPr>
                <w:rFonts w:ascii="Cambria" w:eastAsia="Calibri" w:hAnsi="Cambria"/>
                <w:i/>
                <w:sz w:val="14"/>
                <w:szCs w:val="14"/>
                <w:lang w:val="en-GB"/>
              </w:rPr>
            </w:pPr>
            <w:r w:rsidRPr="009C1AD8">
              <w:rPr>
                <w:rFonts w:ascii="Cambria" w:eastAsia="Calibri" w:hAnsi="Cambria"/>
                <w:i/>
                <w:sz w:val="14"/>
                <w:szCs w:val="14"/>
                <w:lang w:val="en-GB"/>
              </w:rPr>
              <w:t>95%IC</w:t>
            </w:r>
          </w:p>
        </w:tc>
        <w:tc>
          <w:tcPr>
            <w:tcW w:w="1469" w:type="dxa"/>
            <w:tcBorders>
              <w:top w:val="single" w:sz="4" w:space="0" w:color="auto"/>
              <w:bottom w:val="single" w:sz="4" w:space="0" w:color="auto"/>
            </w:tcBorders>
            <w:shd w:val="clear" w:color="auto" w:fill="auto"/>
          </w:tcPr>
          <w:p w14:paraId="7DDDB7B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i/>
                <w:sz w:val="14"/>
                <w:szCs w:val="14"/>
                <w:lang w:val="en-GB"/>
              </w:rPr>
              <w:t>r</w:t>
            </w:r>
            <w:r w:rsidRPr="009C1AD8">
              <w:rPr>
                <w:rFonts w:ascii="Cambria" w:eastAsia="Calibri" w:hAnsi="Cambria"/>
                <w:sz w:val="14"/>
                <w:szCs w:val="14"/>
                <w:lang w:val="en-GB"/>
              </w:rPr>
              <w:t xml:space="preserve"> (</w:t>
            </w:r>
            <w:r w:rsidRPr="009C1AD8">
              <w:rPr>
                <w:rFonts w:ascii="Cambria" w:eastAsia="Calibri" w:hAnsi="Cambria"/>
                <w:i/>
                <w:sz w:val="14"/>
                <w:szCs w:val="14"/>
                <w:lang w:val="en-GB"/>
              </w:rPr>
              <w:t>p</w:t>
            </w:r>
            <w:r w:rsidRPr="009C1AD8">
              <w:rPr>
                <w:rFonts w:ascii="Cambria" w:eastAsia="Calibri" w:hAnsi="Cambria"/>
                <w:sz w:val="14"/>
                <w:szCs w:val="14"/>
                <w:lang w:val="en-GB"/>
              </w:rPr>
              <w:t xml:space="preserve"> value)</w:t>
            </w:r>
          </w:p>
        </w:tc>
        <w:tc>
          <w:tcPr>
            <w:tcW w:w="2166" w:type="dxa"/>
            <w:tcBorders>
              <w:top w:val="single" w:sz="4" w:space="0" w:color="auto"/>
              <w:bottom w:val="single" w:sz="4" w:space="0" w:color="auto"/>
            </w:tcBorders>
            <w:shd w:val="clear" w:color="auto" w:fill="auto"/>
          </w:tcPr>
          <w:p w14:paraId="3DDE0DB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i/>
                <w:sz w:val="14"/>
                <w:szCs w:val="14"/>
                <w:lang w:val="en-GB"/>
              </w:rPr>
              <w:t>t</w:t>
            </w:r>
            <w:r w:rsidRPr="009C1AD8">
              <w:rPr>
                <w:rFonts w:ascii="Cambria" w:eastAsia="Calibri" w:hAnsi="Cambria"/>
                <w:sz w:val="14"/>
                <w:szCs w:val="14"/>
                <w:lang w:val="en-GB"/>
              </w:rPr>
              <w:t xml:space="preserve"> (</w:t>
            </w:r>
            <w:r w:rsidRPr="009C1AD8">
              <w:rPr>
                <w:rFonts w:ascii="Cambria" w:eastAsia="Calibri" w:hAnsi="Cambria"/>
                <w:i/>
                <w:sz w:val="14"/>
                <w:szCs w:val="14"/>
                <w:lang w:val="en-GB"/>
              </w:rPr>
              <w:t>p</w:t>
            </w:r>
            <w:r w:rsidRPr="009C1AD8">
              <w:rPr>
                <w:rFonts w:ascii="Cambria" w:eastAsia="Calibri" w:hAnsi="Cambria"/>
                <w:sz w:val="14"/>
                <w:szCs w:val="14"/>
                <w:lang w:val="en-GB"/>
              </w:rPr>
              <w:t xml:space="preserve"> value)</w:t>
            </w:r>
          </w:p>
        </w:tc>
        <w:tc>
          <w:tcPr>
            <w:tcW w:w="1773" w:type="dxa"/>
            <w:tcBorders>
              <w:top w:val="single" w:sz="4" w:space="0" w:color="auto"/>
              <w:bottom w:val="single" w:sz="4" w:space="0" w:color="auto"/>
            </w:tcBorders>
          </w:tcPr>
          <w:p w14:paraId="0AC234A1" w14:textId="77777777" w:rsidR="00873A87" w:rsidRPr="009C1AD8" w:rsidRDefault="00873A87" w:rsidP="00DF6BD4">
            <w:pPr>
              <w:spacing w:before="60" w:after="60" w:line="360" w:lineRule="auto"/>
              <w:rPr>
                <w:rFonts w:ascii="Cambria" w:eastAsia="Calibri" w:hAnsi="Cambria"/>
                <w:i/>
                <w:sz w:val="14"/>
                <w:szCs w:val="14"/>
                <w:lang w:val="en-GB"/>
              </w:rPr>
            </w:pPr>
            <w:r w:rsidRPr="009C1AD8">
              <w:rPr>
                <w:rFonts w:ascii="Cambria" w:eastAsia="Calibri" w:hAnsi="Cambria"/>
                <w:sz w:val="14"/>
                <w:szCs w:val="14"/>
                <w:lang w:val="en-GB"/>
              </w:rPr>
              <w:t>Cohen</w:t>
            </w:r>
            <w:r w:rsidRPr="009C1AD8">
              <w:rPr>
                <w:rFonts w:ascii="Cambria" w:eastAsia="Calibri" w:hAnsi="Cambria"/>
                <w:i/>
                <w:sz w:val="14"/>
                <w:szCs w:val="14"/>
                <w:lang w:val="en-GB"/>
              </w:rPr>
              <w:t xml:space="preserve"> d (rating)</w:t>
            </w:r>
          </w:p>
        </w:tc>
      </w:tr>
      <w:tr w:rsidR="00873A87" w:rsidRPr="009C1AD8" w14:paraId="346A7306" w14:textId="77777777" w:rsidTr="00DF6BD4">
        <w:trPr>
          <w:trHeight w:val="286"/>
        </w:trPr>
        <w:tc>
          <w:tcPr>
            <w:tcW w:w="0" w:type="auto"/>
            <w:vMerge w:val="restart"/>
            <w:tcBorders>
              <w:top w:val="single" w:sz="4" w:space="0" w:color="auto"/>
              <w:bottom w:val="single" w:sz="4" w:space="0" w:color="auto"/>
            </w:tcBorders>
            <w:shd w:val="clear" w:color="auto" w:fill="auto"/>
            <w:vAlign w:val="center"/>
          </w:tcPr>
          <w:p w14:paraId="0B760AEB"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Task 1</w:t>
            </w:r>
          </w:p>
        </w:tc>
        <w:tc>
          <w:tcPr>
            <w:tcW w:w="1752" w:type="dxa"/>
            <w:vMerge w:val="restart"/>
            <w:tcBorders>
              <w:top w:val="single" w:sz="4" w:space="0" w:color="auto"/>
              <w:bottom w:val="nil"/>
            </w:tcBorders>
            <w:shd w:val="clear" w:color="auto" w:fill="auto"/>
            <w:vAlign w:val="center"/>
          </w:tcPr>
          <w:p w14:paraId="4A8D8D39"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Total Area (m</w:t>
            </w:r>
            <w:r w:rsidRPr="009C1AD8">
              <w:rPr>
                <w:rFonts w:ascii="Cambria" w:eastAsia="Calibri" w:hAnsi="Cambria"/>
                <w:sz w:val="14"/>
                <w:szCs w:val="14"/>
                <w:vertAlign w:val="superscript"/>
                <w:lang w:val="en-GB"/>
              </w:rPr>
              <w:t>2</w:t>
            </w:r>
            <w:r w:rsidRPr="009C1AD8">
              <w:rPr>
                <w:rFonts w:ascii="Cambria" w:eastAsia="Calibri" w:hAnsi="Cambria"/>
                <w:sz w:val="14"/>
                <w:szCs w:val="14"/>
                <w:lang w:val="en-GB"/>
              </w:rPr>
              <w:t>)</w:t>
            </w:r>
          </w:p>
        </w:tc>
        <w:tc>
          <w:tcPr>
            <w:tcW w:w="2162" w:type="dxa"/>
            <w:tcBorders>
              <w:top w:val="single" w:sz="4" w:space="0" w:color="auto"/>
              <w:bottom w:val="nil"/>
            </w:tcBorders>
            <w:shd w:val="clear" w:color="auto" w:fill="auto"/>
          </w:tcPr>
          <w:p w14:paraId="336F91D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10vs4</w:t>
            </w:r>
          </w:p>
        </w:tc>
        <w:tc>
          <w:tcPr>
            <w:tcW w:w="641" w:type="dxa"/>
            <w:tcBorders>
              <w:top w:val="single" w:sz="4" w:space="0" w:color="auto"/>
              <w:bottom w:val="nil"/>
            </w:tcBorders>
            <w:shd w:val="clear" w:color="auto" w:fill="auto"/>
          </w:tcPr>
          <w:p w14:paraId="5A3B69B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single" w:sz="4" w:space="0" w:color="auto"/>
              <w:bottom w:val="nil"/>
            </w:tcBorders>
            <w:shd w:val="clear" w:color="auto" w:fill="auto"/>
          </w:tcPr>
          <w:p w14:paraId="345314D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w:t>
            </w:r>
          </w:p>
        </w:tc>
        <w:tc>
          <w:tcPr>
            <w:tcW w:w="1167" w:type="dxa"/>
            <w:tcBorders>
              <w:top w:val="single" w:sz="4" w:space="0" w:color="auto"/>
              <w:bottom w:val="nil"/>
            </w:tcBorders>
            <w:shd w:val="clear" w:color="auto" w:fill="auto"/>
          </w:tcPr>
          <w:p w14:paraId="7253CFB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0.95; 0.97</w:t>
            </w:r>
          </w:p>
        </w:tc>
        <w:tc>
          <w:tcPr>
            <w:tcW w:w="797" w:type="dxa"/>
            <w:tcBorders>
              <w:top w:val="single" w:sz="4" w:space="0" w:color="auto"/>
              <w:bottom w:val="nil"/>
            </w:tcBorders>
            <w:shd w:val="clear" w:color="auto" w:fill="auto"/>
          </w:tcPr>
          <w:p w14:paraId="1454046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2.61</w:t>
            </w:r>
          </w:p>
        </w:tc>
        <w:tc>
          <w:tcPr>
            <w:tcW w:w="1635" w:type="dxa"/>
            <w:tcBorders>
              <w:top w:val="single" w:sz="4" w:space="0" w:color="auto"/>
              <w:bottom w:val="nil"/>
            </w:tcBorders>
            <w:shd w:val="clear" w:color="auto" w:fill="auto"/>
          </w:tcPr>
          <w:p w14:paraId="763ADA4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131.18; 125.97</w:t>
            </w:r>
          </w:p>
        </w:tc>
        <w:tc>
          <w:tcPr>
            <w:tcW w:w="1469" w:type="dxa"/>
            <w:tcBorders>
              <w:top w:val="single" w:sz="4" w:space="0" w:color="auto"/>
              <w:bottom w:val="nil"/>
            </w:tcBorders>
            <w:shd w:val="clear" w:color="auto" w:fill="auto"/>
          </w:tcPr>
          <w:p w14:paraId="4AD4F2B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 (&lt; 0.01)</w:t>
            </w:r>
          </w:p>
        </w:tc>
        <w:tc>
          <w:tcPr>
            <w:tcW w:w="2166" w:type="dxa"/>
            <w:tcBorders>
              <w:top w:val="single" w:sz="4" w:space="0" w:color="auto"/>
              <w:bottom w:val="nil"/>
            </w:tcBorders>
            <w:shd w:val="clear" w:color="auto" w:fill="auto"/>
          </w:tcPr>
          <w:p w14:paraId="666F57E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0.66 (=507)</w:t>
            </w:r>
          </w:p>
        </w:tc>
        <w:tc>
          <w:tcPr>
            <w:tcW w:w="1773" w:type="dxa"/>
            <w:tcBorders>
              <w:top w:val="single" w:sz="4" w:space="0" w:color="auto"/>
              <w:bottom w:val="nil"/>
            </w:tcBorders>
          </w:tcPr>
          <w:p w14:paraId="588D00F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0.06, </w:t>
            </w:r>
            <w:r w:rsidRPr="009C1AD8">
              <w:rPr>
                <w:rFonts w:ascii="Cambria" w:eastAsia="Calibri" w:hAnsi="Cambria"/>
                <w:i/>
                <w:sz w:val="14"/>
                <w:szCs w:val="14"/>
                <w:lang w:val="en-GB"/>
              </w:rPr>
              <w:t>trivial</w:t>
            </w:r>
          </w:p>
        </w:tc>
      </w:tr>
      <w:tr w:rsidR="00873A87" w:rsidRPr="009C1AD8" w14:paraId="5E23110F" w14:textId="77777777" w:rsidTr="00DF6BD4">
        <w:trPr>
          <w:trHeight w:val="278"/>
        </w:trPr>
        <w:tc>
          <w:tcPr>
            <w:tcW w:w="0" w:type="auto"/>
            <w:vMerge/>
            <w:tcBorders>
              <w:top w:val="nil"/>
              <w:bottom w:val="single" w:sz="4" w:space="0" w:color="auto"/>
            </w:tcBorders>
            <w:shd w:val="clear" w:color="auto" w:fill="auto"/>
            <w:vAlign w:val="center"/>
          </w:tcPr>
          <w:p w14:paraId="72CB739C"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021F1DFD"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7ECE1F3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10vs2</w:t>
            </w:r>
          </w:p>
        </w:tc>
        <w:tc>
          <w:tcPr>
            <w:tcW w:w="641" w:type="dxa"/>
            <w:tcBorders>
              <w:top w:val="nil"/>
              <w:bottom w:val="nil"/>
            </w:tcBorders>
            <w:shd w:val="clear" w:color="auto" w:fill="auto"/>
          </w:tcPr>
          <w:p w14:paraId="448F820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507D292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w:t>
            </w:r>
          </w:p>
        </w:tc>
        <w:tc>
          <w:tcPr>
            <w:tcW w:w="1167" w:type="dxa"/>
            <w:tcBorders>
              <w:top w:val="nil"/>
              <w:bottom w:val="nil"/>
            </w:tcBorders>
            <w:shd w:val="clear" w:color="auto" w:fill="auto"/>
          </w:tcPr>
          <w:p w14:paraId="6CA1983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0.95; 0.97</w:t>
            </w:r>
          </w:p>
        </w:tc>
        <w:tc>
          <w:tcPr>
            <w:tcW w:w="797" w:type="dxa"/>
            <w:tcBorders>
              <w:top w:val="nil"/>
              <w:bottom w:val="nil"/>
            </w:tcBorders>
            <w:shd w:val="clear" w:color="auto" w:fill="auto"/>
          </w:tcPr>
          <w:p w14:paraId="0E5A1D6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2.7</w:t>
            </w:r>
          </w:p>
        </w:tc>
        <w:tc>
          <w:tcPr>
            <w:tcW w:w="1635" w:type="dxa"/>
            <w:tcBorders>
              <w:top w:val="nil"/>
              <w:bottom w:val="nil"/>
            </w:tcBorders>
            <w:shd w:val="clear" w:color="auto" w:fill="auto"/>
          </w:tcPr>
          <w:p w14:paraId="32279A2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130.35; 124.95 </w:t>
            </w:r>
          </w:p>
        </w:tc>
        <w:tc>
          <w:tcPr>
            <w:tcW w:w="1469" w:type="dxa"/>
            <w:tcBorders>
              <w:top w:val="nil"/>
              <w:bottom w:val="nil"/>
            </w:tcBorders>
            <w:shd w:val="clear" w:color="auto" w:fill="auto"/>
          </w:tcPr>
          <w:p w14:paraId="3452269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 (&lt; 0.01)</w:t>
            </w:r>
          </w:p>
        </w:tc>
        <w:tc>
          <w:tcPr>
            <w:tcW w:w="2166" w:type="dxa"/>
            <w:tcBorders>
              <w:top w:val="nil"/>
              <w:bottom w:val="nil"/>
            </w:tcBorders>
            <w:shd w:val="clear" w:color="auto" w:fill="auto"/>
          </w:tcPr>
          <w:p w14:paraId="4E9FF0F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0.69 (=.489)</w:t>
            </w:r>
          </w:p>
        </w:tc>
        <w:tc>
          <w:tcPr>
            <w:tcW w:w="1773" w:type="dxa"/>
            <w:tcBorders>
              <w:top w:val="nil"/>
              <w:bottom w:val="nil"/>
            </w:tcBorders>
          </w:tcPr>
          <w:p w14:paraId="68ECC3D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0.06, </w:t>
            </w:r>
            <w:r w:rsidRPr="009C1AD8">
              <w:rPr>
                <w:rFonts w:ascii="Cambria" w:eastAsia="Calibri" w:hAnsi="Cambria"/>
                <w:i/>
                <w:sz w:val="14"/>
                <w:szCs w:val="14"/>
                <w:lang w:val="en-GB"/>
              </w:rPr>
              <w:t>trivial</w:t>
            </w:r>
          </w:p>
        </w:tc>
      </w:tr>
      <w:tr w:rsidR="00873A87" w:rsidRPr="009C1AD8" w14:paraId="20BB214E" w14:textId="77777777" w:rsidTr="00DF6BD4">
        <w:trPr>
          <w:trHeight w:val="278"/>
        </w:trPr>
        <w:tc>
          <w:tcPr>
            <w:tcW w:w="0" w:type="auto"/>
            <w:vMerge/>
            <w:tcBorders>
              <w:top w:val="nil"/>
              <w:bottom w:val="single" w:sz="4" w:space="0" w:color="auto"/>
            </w:tcBorders>
            <w:shd w:val="clear" w:color="auto" w:fill="auto"/>
            <w:vAlign w:val="center"/>
          </w:tcPr>
          <w:p w14:paraId="02525E7F"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2CFFCCC9"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6C5FF9A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10vs1</w:t>
            </w:r>
          </w:p>
        </w:tc>
        <w:tc>
          <w:tcPr>
            <w:tcW w:w="641" w:type="dxa"/>
            <w:tcBorders>
              <w:top w:val="nil"/>
              <w:bottom w:val="nil"/>
            </w:tcBorders>
            <w:shd w:val="clear" w:color="auto" w:fill="auto"/>
          </w:tcPr>
          <w:p w14:paraId="38F9B38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5E69ABB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w:t>
            </w:r>
          </w:p>
        </w:tc>
        <w:tc>
          <w:tcPr>
            <w:tcW w:w="1167" w:type="dxa"/>
            <w:tcBorders>
              <w:top w:val="nil"/>
              <w:bottom w:val="nil"/>
            </w:tcBorders>
            <w:shd w:val="clear" w:color="auto" w:fill="auto"/>
          </w:tcPr>
          <w:p w14:paraId="16EE867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0.95, 0.97</w:t>
            </w:r>
          </w:p>
        </w:tc>
        <w:tc>
          <w:tcPr>
            <w:tcW w:w="797" w:type="dxa"/>
            <w:tcBorders>
              <w:top w:val="nil"/>
              <w:bottom w:val="nil"/>
            </w:tcBorders>
            <w:shd w:val="clear" w:color="auto" w:fill="auto"/>
          </w:tcPr>
          <w:p w14:paraId="57A9796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3.71</w:t>
            </w:r>
          </w:p>
        </w:tc>
        <w:tc>
          <w:tcPr>
            <w:tcW w:w="1635" w:type="dxa"/>
            <w:tcBorders>
              <w:top w:val="nil"/>
              <w:bottom w:val="nil"/>
            </w:tcBorders>
            <w:shd w:val="clear" w:color="auto" w:fill="auto"/>
          </w:tcPr>
          <w:p w14:paraId="1BA2DC5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125.54; 119.18</w:t>
            </w:r>
          </w:p>
        </w:tc>
        <w:tc>
          <w:tcPr>
            <w:tcW w:w="1469" w:type="dxa"/>
            <w:tcBorders>
              <w:top w:val="nil"/>
              <w:bottom w:val="nil"/>
            </w:tcBorders>
            <w:shd w:val="clear" w:color="auto" w:fill="auto"/>
          </w:tcPr>
          <w:p w14:paraId="51EB44A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0.96 (&lt; 0.01)</w:t>
            </w:r>
          </w:p>
        </w:tc>
        <w:tc>
          <w:tcPr>
            <w:tcW w:w="2166" w:type="dxa"/>
            <w:tcBorders>
              <w:top w:val="nil"/>
              <w:bottom w:val="nil"/>
            </w:tcBorders>
            <w:shd w:val="clear" w:color="auto" w:fill="auto"/>
          </w:tcPr>
          <w:p w14:paraId="49B6899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0.82 (=.411)</w:t>
            </w:r>
          </w:p>
        </w:tc>
        <w:tc>
          <w:tcPr>
            <w:tcW w:w="1773" w:type="dxa"/>
            <w:tcBorders>
              <w:top w:val="nil"/>
              <w:bottom w:val="nil"/>
            </w:tcBorders>
          </w:tcPr>
          <w:p w14:paraId="7AC989D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0.07, </w:t>
            </w:r>
            <w:r w:rsidRPr="009C1AD8">
              <w:rPr>
                <w:rFonts w:ascii="Cambria" w:eastAsia="Calibri" w:hAnsi="Cambria"/>
                <w:i/>
                <w:sz w:val="14"/>
                <w:szCs w:val="14"/>
                <w:lang w:val="en-GB"/>
              </w:rPr>
              <w:t>trivial</w:t>
            </w:r>
          </w:p>
        </w:tc>
      </w:tr>
      <w:tr w:rsidR="00873A87" w:rsidRPr="009C1AD8" w14:paraId="2370DB85" w14:textId="77777777" w:rsidTr="00DF6BD4">
        <w:trPr>
          <w:trHeight w:val="286"/>
        </w:trPr>
        <w:tc>
          <w:tcPr>
            <w:tcW w:w="0" w:type="auto"/>
            <w:vMerge/>
            <w:tcBorders>
              <w:top w:val="nil"/>
              <w:bottom w:val="single" w:sz="4" w:space="0" w:color="auto"/>
            </w:tcBorders>
            <w:shd w:val="clear" w:color="auto" w:fill="auto"/>
            <w:vAlign w:val="center"/>
          </w:tcPr>
          <w:p w14:paraId="45F97963"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0EB2B2D2"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7882CC5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4vs2</w:t>
            </w:r>
          </w:p>
        </w:tc>
        <w:tc>
          <w:tcPr>
            <w:tcW w:w="641" w:type="dxa"/>
            <w:tcBorders>
              <w:top w:val="nil"/>
              <w:bottom w:val="nil"/>
            </w:tcBorders>
            <w:shd w:val="clear" w:color="auto" w:fill="auto"/>
          </w:tcPr>
          <w:p w14:paraId="4CE5622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16F3F98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w:t>
            </w:r>
          </w:p>
        </w:tc>
        <w:tc>
          <w:tcPr>
            <w:tcW w:w="1167" w:type="dxa"/>
            <w:tcBorders>
              <w:top w:val="nil"/>
              <w:bottom w:val="nil"/>
            </w:tcBorders>
            <w:shd w:val="clear" w:color="auto" w:fill="auto"/>
          </w:tcPr>
          <w:p w14:paraId="28B90EE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1</w:t>
            </w:r>
          </w:p>
        </w:tc>
        <w:tc>
          <w:tcPr>
            <w:tcW w:w="797" w:type="dxa"/>
            <w:tcBorders>
              <w:top w:val="nil"/>
              <w:bottom w:val="nil"/>
            </w:tcBorders>
            <w:shd w:val="clear" w:color="auto" w:fill="auto"/>
          </w:tcPr>
          <w:p w14:paraId="5E7CAF3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0.09</w:t>
            </w:r>
          </w:p>
        </w:tc>
        <w:tc>
          <w:tcPr>
            <w:tcW w:w="1635" w:type="dxa"/>
            <w:tcBorders>
              <w:top w:val="nil"/>
              <w:bottom w:val="nil"/>
            </w:tcBorders>
            <w:shd w:val="clear" w:color="auto" w:fill="auto"/>
          </w:tcPr>
          <w:p w14:paraId="705ADD3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6.4; 6.22</w:t>
            </w:r>
          </w:p>
        </w:tc>
        <w:tc>
          <w:tcPr>
            <w:tcW w:w="1469" w:type="dxa"/>
            <w:tcBorders>
              <w:top w:val="nil"/>
              <w:bottom w:val="nil"/>
            </w:tcBorders>
            <w:shd w:val="clear" w:color="auto" w:fill="auto"/>
          </w:tcPr>
          <w:p w14:paraId="68E694E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(&lt; 0.01)</w:t>
            </w:r>
          </w:p>
        </w:tc>
        <w:tc>
          <w:tcPr>
            <w:tcW w:w="2166" w:type="dxa"/>
            <w:tcBorders>
              <w:top w:val="nil"/>
              <w:bottom w:val="nil"/>
            </w:tcBorders>
            <w:shd w:val="clear" w:color="auto" w:fill="auto"/>
          </w:tcPr>
          <w:p w14:paraId="70EC163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0.48 (=.635)</w:t>
            </w:r>
          </w:p>
        </w:tc>
        <w:tc>
          <w:tcPr>
            <w:tcW w:w="1773" w:type="dxa"/>
            <w:tcBorders>
              <w:top w:val="nil"/>
              <w:bottom w:val="nil"/>
            </w:tcBorders>
          </w:tcPr>
          <w:p w14:paraId="2C1E5A0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0.04, </w:t>
            </w:r>
            <w:r w:rsidRPr="009C1AD8">
              <w:rPr>
                <w:rFonts w:ascii="Cambria" w:eastAsia="Calibri" w:hAnsi="Cambria"/>
                <w:i/>
                <w:sz w:val="14"/>
                <w:szCs w:val="14"/>
                <w:lang w:val="en-GB"/>
              </w:rPr>
              <w:t>trivial</w:t>
            </w:r>
          </w:p>
        </w:tc>
      </w:tr>
      <w:tr w:rsidR="00873A87" w:rsidRPr="009C1AD8" w14:paraId="0BD0DC40" w14:textId="77777777" w:rsidTr="00DF6BD4">
        <w:trPr>
          <w:trHeight w:val="278"/>
        </w:trPr>
        <w:tc>
          <w:tcPr>
            <w:tcW w:w="0" w:type="auto"/>
            <w:vMerge/>
            <w:tcBorders>
              <w:top w:val="nil"/>
              <w:bottom w:val="single" w:sz="4" w:space="0" w:color="auto"/>
            </w:tcBorders>
            <w:shd w:val="clear" w:color="auto" w:fill="auto"/>
            <w:vAlign w:val="center"/>
          </w:tcPr>
          <w:p w14:paraId="3BA24566"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5B4D29DA"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3A4B7B3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4vs1</w:t>
            </w:r>
          </w:p>
        </w:tc>
        <w:tc>
          <w:tcPr>
            <w:tcW w:w="641" w:type="dxa"/>
            <w:tcBorders>
              <w:top w:val="nil"/>
              <w:bottom w:val="nil"/>
            </w:tcBorders>
            <w:shd w:val="clear" w:color="auto" w:fill="auto"/>
          </w:tcPr>
          <w:p w14:paraId="7CC1EF5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37072BE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nil"/>
            </w:tcBorders>
            <w:shd w:val="clear" w:color="auto" w:fill="auto"/>
          </w:tcPr>
          <w:p w14:paraId="292C145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nil"/>
            </w:tcBorders>
            <w:shd w:val="clear" w:color="auto" w:fill="auto"/>
          </w:tcPr>
          <w:p w14:paraId="1B15E64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0.57</w:t>
            </w:r>
          </w:p>
        </w:tc>
        <w:tc>
          <w:tcPr>
            <w:tcW w:w="1635" w:type="dxa"/>
            <w:tcBorders>
              <w:top w:val="nil"/>
              <w:bottom w:val="nil"/>
            </w:tcBorders>
            <w:shd w:val="clear" w:color="auto" w:fill="auto"/>
          </w:tcPr>
          <w:p w14:paraId="323068B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22.19; 21.05 </w:t>
            </w:r>
          </w:p>
        </w:tc>
        <w:tc>
          <w:tcPr>
            <w:tcW w:w="1469" w:type="dxa"/>
            <w:tcBorders>
              <w:top w:val="nil"/>
              <w:bottom w:val="nil"/>
            </w:tcBorders>
            <w:shd w:val="clear" w:color="auto" w:fill="auto"/>
          </w:tcPr>
          <w:p w14:paraId="062D36E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nil"/>
            </w:tcBorders>
            <w:shd w:val="clear" w:color="auto" w:fill="auto"/>
          </w:tcPr>
          <w:p w14:paraId="0FA0054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0.86 (=.389)</w:t>
            </w:r>
          </w:p>
        </w:tc>
        <w:tc>
          <w:tcPr>
            <w:tcW w:w="1773" w:type="dxa"/>
            <w:tcBorders>
              <w:top w:val="nil"/>
              <w:bottom w:val="nil"/>
            </w:tcBorders>
          </w:tcPr>
          <w:p w14:paraId="08F7219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0.07, </w:t>
            </w:r>
            <w:r w:rsidRPr="009C1AD8">
              <w:rPr>
                <w:rFonts w:ascii="Cambria" w:eastAsia="Calibri" w:hAnsi="Cambria"/>
                <w:i/>
                <w:sz w:val="14"/>
                <w:szCs w:val="14"/>
                <w:lang w:val="en-GB"/>
              </w:rPr>
              <w:t>trivial</w:t>
            </w:r>
          </w:p>
        </w:tc>
      </w:tr>
      <w:tr w:rsidR="00873A87" w:rsidRPr="009C1AD8" w14:paraId="19D8D6DE" w14:textId="77777777" w:rsidTr="00DF6BD4">
        <w:trPr>
          <w:trHeight w:val="353"/>
        </w:trPr>
        <w:tc>
          <w:tcPr>
            <w:tcW w:w="0" w:type="auto"/>
            <w:vMerge/>
            <w:tcBorders>
              <w:top w:val="nil"/>
              <w:bottom w:val="single" w:sz="4" w:space="0" w:color="auto"/>
            </w:tcBorders>
            <w:shd w:val="clear" w:color="auto" w:fill="auto"/>
            <w:vAlign w:val="center"/>
          </w:tcPr>
          <w:p w14:paraId="669E4BC7"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61CE0AE6"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single" w:sz="4" w:space="0" w:color="auto"/>
            </w:tcBorders>
            <w:shd w:val="clear" w:color="auto" w:fill="auto"/>
          </w:tcPr>
          <w:p w14:paraId="3885123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2vs1</w:t>
            </w:r>
          </w:p>
        </w:tc>
        <w:tc>
          <w:tcPr>
            <w:tcW w:w="641" w:type="dxa"/>
            <w:tcBorders>
              <w:top w:val="nil"/>
              <w:bottom w:val="single" w:sz="4" w:space="0" w:color="auto"/>
            </w:tcBorders>
            <w:shd w:val="clear" w:color="auto" w:fill="auto"/>
          </w:tcPr>
          <w:p w14:paraId="6417A63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single" w:sz="4" w:space="0" w:color="auto"/>
            </w:tcBorders>
            <w:shd w:val="clear" w:color="auto" w:fill="auto"/>
          </w:tcPr>
          <w:p w14:paraId="7A50393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single" w:sz="4" w:space="0" w:color="auto"/>
            </w:tcBorders>
            <w:shd w:val="clear" w:color="auto" w:fill="auto"/>
          </w:tcPr>
          <w:p w14:paraId="72B0A7E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single" w:sz="4" w:space="0" w:color="auto"/>
            </w:tcBorders>
            <w:shd w:val="clear" w:color="auto" w:fill="auto"/>
          </w:tcPr>
          <w:p w14:paraId="7E266BE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0.47</w:t>
            </w:r>
          </w:p>
        </w:tc>
        <w:tc>
          <w:tcPr>
            <w:tcW w:w="1635" w:type="dxa"/>
            <w:tcBorders>
              <w:top w:val="nil"/>
              <w:bottom w:val="single" w:sz="4" w:space="0" w:color="auto"/>
            </w:tcBorders>
            <w:shd w:val="clear" w:color="auto" w:fill="auto"/>
          </w:tcPr>
          <w:p w14:paraId="2305C00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15.25; 14.29</w:t>
            </w:r>
          </w:p>
        </w:tc>
        <w:tc>
          <w:tcPr>
            <w:tcW w:w="1469" w:type="dxa"/>
            <w:tcBorders>
              <w:top w:val="nil"/>
              <w:bottom w:val="single" w:sz="4" w:space="0" w:color="auto"/>
            </w:tcBorders>
            <w:shd w:val="clear" w:color="auto" w:fill="auto"/>
          </w:tcPr>
          <w:p w14:paraId="2EA3A66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single" w:sz="4" w:space="0" w:color="auto"/>
            </w:tcBorders>
            <w:shd w:val="clear" w:color="auto" w:fill="auto"/>
          </w:tcPr>
          <w:p w14:paraId="5734890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0.91 (=.362)</w:t>
            </w:r>
          </w:p>
        </w:tc>
        <w:tc>
          <w:tcPr>
            <w:tcW w:w="1773" w:type="dxa"/>
            <w:tcBorders>
              <w:top w:val="nil"/>
              <w:bottom w:val="single" w:sz="4" w:space="0" w:color="auto"/>
            </w:tcBorders>
          </w:tcPr>
          <w:p w14:paraId="157A8F5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0.08, </w:t>
            </w:r>
            <w:r w:rsidRPr="009C1AD8">
              <w:rPr>
                <w:rFonts w:ascii="Cambria" w:eastAsia="Calibri" w:hAnsi="Cambria"/>
                <w:i/>
                <w:sz w:val="14"/>
                <w:szCs w:val="14"/>
                <w:lang w:val="en-GB"/>
              </w:rPr>
              <w:t>trivial</w:t>
            </w:r>
          </w:p>
        </w:tc>
      </w:tr>
      <w:tr w:rsidR="00873A87" w:rsidRPr="009C1AD8" w14:paraId="7D84AB9B" w14:textId="77777777" w:rsidTr="00DF6BD4">
        <w:trPr>
          <w:trHeight w:val="286"/>
        </w:trPr>
        <w:tc>
          <w:tcPr>
            <w:tcW w:w="0" w:type="auto"/>
            <w:vMerge w:val="restart"/>
            <w:tcBorders>
              <w:top w:val="single" w:sz="4" w:space="0" w:color="auto"/>
              <w:bottom w:val="single" w:sz="4" w:space="0" w:color="auto"/>
            </w:tcBorders>
            <w:shd w:val="clear" w:color="auto" w:fill="auto"/>
            <w:vAlign w:val="center"/>
          </w:tcPr>
          <w:p w14:paraId="2EB7BE38"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Task 2</w:t>
            </w:r>
          </w:p>
        </w:tc>
        <w:tc>
          <w:tcPr>
            <w:tcW w:w="1752" w:type="dxa"/>
            <w:vMerge w:val="restart"/>
            <w:tcBorders>
              <w:top w:val="single" w:sz="4" w:space="0" w:color="auto"/>
              <w:bottom w:val="single" w:sz="4" w:space="0" w:color="auto"/>
            </w:tcBorders>
            <w:shd w:val="clear" w:color="auto" w:fill="auto"/>
            <w:vAlign w:val="center"/>
          </w:tcPr>
          <w:p w14:paraId="5A092D54"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Total Area (m</w:t>
            </w:r>
            <w:r w:rsidRPr="009C1AD8">
              <w:rPr>
                <w:rFonts w:ascii="Cambria" w:eastAsia="Calibri" w:hAnsi="Cambria"/>
                <w:sz w:val="14"/>
                <w:szCs w:val="14"/>
                <w:vertAlign w:val="superscript"/>
                <w:lang w:val="en-GB"/>
              </w:rPr>
              <w:t>2</w:t>
            </w:r>
            <w:r w:rsidRPr="009C1AD8">
              <w:rPr>
                <w:rFonts w:ascii="Cambria" w:eastAsia="Calibri" w:hAnsi="Cambria"/>
                <w:sz w:val="14"/>
                <w:szCs w:val="14"/>
                <w:lang w:val="en-GB"/>
              </w:rPr>
              <w:t>)</w:t>
            </w:r>
          </w:p>
        </w:tc>
        <w:tc>
          <w:tcPr>
            <w:tcW w:w="2162" w:type="dxa"/>
            <w:tcBorders>
              <w:top w:val="single" w:sz="4" w:space="0" w:color="auto"/>
            </w:tcBorders>
            <w:shd w:val="clear" w:color="auto" w:fill="auto"/>
          </w:tcPr>
          <w:p w14:paraId="2D1CD83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10vs4</w:t>
            </w:r>
          </w:p>
        </w:tc>
        <w:tc>
          <w:tcPr>
            <w:tcW w:w="641" w:type="dxa"/>
            <w:tcBorders>
              <w:top w:val="single" w:sz="4" w:space="0" w:color="auto"/>
            </w:tcBorders>
            <w:shd w:val="clear" w:color="auto" w:fill="auto"/>
          </w:tcPr>
          <w:p w14:paraId="469EA02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single" w:sz="4" w:space="0" w:color="auto"/>
            </w:tcBorders>
            <w:shd w:val="clear" w:color="auto" w:fill="auto"/>
          </w:tcPr>
          <w:p w14:paraId="4E71BAA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w:t>
            </w:r>
          </w:p>
        </w:tc>
        <w:tc>
          <w:tcPr>
            <w:tcW w:w="1167" w:type="dxa"/>
            <w:tcBorders>
              <w:top w:val="single" w:sz="4" w:space="0" w:color="auto"/>
            </w:tcBorders>
            <w:shd w:val="clear" w:color="auto" w:fill="auto"/>
          </w:tcPr>
          <w:p w14:paraId="7C134A86"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1</w:t>
            </w:r>
          </w:p>
        </w:tc>
        <w:tc>
          <w:tcPr>
            <w:tcW w:w="797" w:type="dxa"/>
            <w:tcBorders>
              <w:top w:val="single" w:sz="4" w:space="0" w:color="auto"/>
            </w:tcBorders>
            <w:shd w:val="clear" w:color="auto" w:fill="auto"/>
          </w:tcPr>
          <w:p w14:paraId="0B1EE20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-47</w:t>
            </w:r>
          </w:p>
        </w:tc>
        <w:tc>
          <w:tcPr>
            <w:tcW w:w="1635" w:type="dxa"/>
            <w:tcBorders>
              <w:top w:val="single" w:sz="4" w:space="0" w:color="auto"/>
            </w:tcBorders>
            <w:shd w:val="clear" w:color="auto" w:fill="auto"/>
          </w:tcPr>
          <w:p w14:paraId="3AD2F1C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-11.34; 10.4</w:t>
            </w:r>
          </w:p>
        </w:tc>
        <w:tc>
          <w:tcPr>
            <w:tcW w:w="1469" w:type="dxa"/>
            <w:tcBorders>
              <w:top w:val="single" w:sz="4" w:space="0" w:color="auto"/>
            </w:tcBorders>
            <w:shd w:val="clear" w:color="auto" w:fill="auto"/>
          </w:tcPr>
          <w:p w14:paraId="49932096"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(&lt; 0.01)</w:t>
            </w:r>
          </w:p>
        </w:tc>
        <w:tc>
          <w:tcPr>
            <w:tcW w:w="2166" w:type="dxa"/>
            <w:tcBorders>
              <w:top w:val="single" w:sz="4" w:space="0" w:color="auto"/>
            </w:tcBorders>
            <w:shd w:val="clear" w:color="auto" w:fill="auto"/>
          </w:tcPr>
          <w:p w14:paraId="2C55EF8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-1.09 (=.278)</w:t>
            </w:r>
          </w:p>
        </w:tc>
        <w:tc>
          <w:tcPr>
            <w:tcW w:w="1773" w:type="dxa"/>
            <w:tcBorders>
              <w:top w:val="single" w:sz="4" w:space="0" w:color="auto"/>
            </w:tcBorders>
          </w:tcPr>
          <w:p w14:paraId="77D33AD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-0.09, </w:t>
            </w:r>
            <w:r w:rsidRPr="009C1AD8">
              <w:rPr>
                <w:rFonts w:ascii="Cambria" w:eastAsia="Calibri" w:hAnsi="Cambria"/>
                <w:i/>
                <w:sz w:val="14"/>
                <w:szCs w:val="14"/>
                <w:lang w:val="en-GB"/>
              </w:rPr>
              <w:t>trivial</w:t>
            </w:r>
          </w:p>
        </w:tc>
      </w:tr>
      <w:tr w:rsidR="00873A87" w:rsidRPr="009C1AD8" w14:paraId="17E60B21" w14:textId="77777777" w:rsidTr="00DF6BD4">
        <w:trPr>
          <w:trHeight w:val="286"/>
        </w:trPr>
        <w:tc>
          <w:tcPr>
            <w:tcW w:w="0" w:type="auto"/>
            <w:vMerge/>
            <w:tcBorders>
              <w:top w:val="nil"/>
              <w:bottom w:val="single" w:sz="4" w:space="0" w:color="auto"/>
            </w:tcBorders>
            <w:shd w:val="clear" w:color="auto" w:fill="auto"/>
            <w:vAlign w:val="center"/>
          </w:tcPr>
          <w:p w14:paraId="65B85C5B"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6CBC036B"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shd w:val="clear" w:color="auto" w:fill="auto"/>
          </w:tcPr>
          <w:p w14:paraId="03DC237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10vs2</w:t>
            </w:r>
          </w:p>
        </w:tc>
        <w:tc>
          <w:tcPr>
            <w:tcW w:w="641" w:type="dxa"/>
            <w:shd w:val="clear" w:color="auto" w:fill="auto"/>
          </w:tcPr>
          <w:p w14:paraId="2F48A4C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shd w:val="clear" w:color="auto" w:fill="auto"/>
          </w:tcPr>
          <w:p w14:paraId="10E55FE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shd w:val="clear" w:color="auto" w:fill="auto"/>
          </w:tcPr>
          <w:p w14:paraId="4A9BCD1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shd w:val="clear" w:color="auto" w:fill="auto"/>
          </w:tcPr>
          <w:p w14:paraId="5617FED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462.3</w:t>
            </w:r>
          </w:p>
        </w:tc>
        <w:tc>
          <w:tcPr>
            <w:tcW w:w="1635" w:type="dxa"/>
            <w:shd w:val="clear" w:color="auto" w:fill="auto"/>
          </w:tcPr>
          <w:p w14:paraId="71975D6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107.73; 1032</w:t>
            </w:r>
          </w:p>
        </w:tc>
        <w:tc>
          <w:tcPr>
            <w:tcW w:w="1469" w:type="dxa"/>
            <w:shd w:val="clear" w:color="auto" w:fill="auto"/>
          </w:tcPr>
          <w:p w14:paraId="56E6610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0.998 (&lt; 0.01)</w:t>
            </w:r>
          </w:p>
        </w:tc>
        <w:tc>
          <w:tcPr>
            <w:tcW w:w="2166" w:type="dxa"/>
            <w:shd w:val="clear" w:color="auto" w:fill="auto"/>
          </w:tcPr>
          <w:p w14:paraId="5F2611A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0.12 (=.907)</w:t>
            </w:r>
          </w:p>
        </w:tc>
        <w:tc>
          <w:tcPr>
            <w:tcW w:w="1773" w:type="dxa"/>
          </w:tcPr>
          <w:p w14:paraId="52801D0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0.01, </w:t>
            </w:r>
            <w:r w:rsidRPr="009C1AD8">
              <w:rPr>
                <w:rFonts w:ascii="Cambria" w:eastAsia="Calibri" w:hAnsi="Cambria"/>
                <w:i/>
                <w:sz w:val="14"/>
                <w:szCs w:val="14"/>
                <w:lang w:val="en-GB"/>
              </w:rPr>
              <w:t>trivial</w:t>
            </w:r>
          </w:p>
        </w:tc>
      </w:tr>
      <w:tr w:rsidR="00873A87" w:rsidRPr="009C1AD8" w14:paraId="3C98BF14" w14:textId="77777777" w:rsidTr="00DF6BD4">
        <w:trPr>
          <w:trHeight w:val="286"/>
        </w:trPr>
        <w:tc>
          <w:tcPr>
            <w:tcW w:w="0" w:type="auto"/>
            <w:vMerge/>
            <w:tcBorders>
              <w:top w:val="nil"/>
              <w:bottom w:val="single" w:sz="4" w:space="0" w:color="auto"/>
            </w:tcBorders>
            <w:shd w:val="clear" w:color="auto" w:fill="auto"/>
            <w:vAlign w:val="center"/>
          </w:tcPr>
          <w:p w14:paraId="6F45C14F"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6215E91C"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shd w:val="clear" w:color="auto" w:fill="auto"/>
          </w:tcPr>
          <w:p w14:paraId="7D9CC94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10vs1</w:t>
            </w:r>
          </w:p>
        </w:tc>
        <w:tc>
          <w:tcPr>
            <w:tcW w:w="641" w:type="dxa"/>
            <w:shd w:val="clear" w:color="auto" w:fill="auto"/>
          </w:tcPr>
          <w:p w14:paraId="02E2E7D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shd w:val="clear" w:color="auto" w:fill="auto"/>
          </w:tcPr>
          <w:p w14:paraId="55E5C3F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0.993</w:t>
            </w:r>
          </w:p>
        </w:tc>
        <w:tc>
          <w:tcPr>
            <w:tcW w:w="1167" w:type="dxa"/>
            <w:shd w:val="clear" w:color="auto" w:fill="auto"/>
          </w:tcPr>
          <w:p w14:paraId="6A9B4A1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shd w:val="clear" w:color="auto" w:fill="auto"/>
          </w:tcPr>
          <w:p w14:paraId="6276857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453.7</w:t>
            </w:r>
          </w:p>
        </w:tc>
        <w:tc>
          <w:tcPr>
            <w:tcW w:w="1635" w:type="dxa"/>
            <w:shd w:val="clear" w:color="auto" w:fill="auto"/>
          </w:tcPr>
          <w:p w14:paraId="77EBCF2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120.4; 1028</w:t>
            </w:r>
          </w:p>
        </w:tc>
        <w:tc>
          <w:tcPr>
            <w:tcW w:w="1469" w:type="dxa"/>
            <w:shd w:val="clear" w:color="auto" w:fill="auto"/>
          </w:tcPr>
          <w:p w14:paraId="2C779EC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0.993 (&lt; 0.01)</w:t>
            </w:r>
          </w:p>
        </w:tc>
        <w:tc>
          <w:tcPr>
            <w:tcW w:w="2166" w:type="dxa"/>
            <w:shd w:val="clear" w:color="auto" w:fill="auto"/>
          </w:tcPr>
          <w:p w14:paraId="04122EF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-1.11 (=.267)</w:t>
            </w:r>
          </w:p>
        </w:tc>
        <w:tc>
          <w:tcPr>
            <w:tcW w:w="1773" w:type="dxa"/>
          </w:tcPr>
          <w:p w14:paraId="489FFC2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-0.09, </w:t>
            </w:r>
            <w:r w:rsidRPr="009C1AD8">
              <w:rPr>
                <w:rFonts w:ascii="Cambria" w:eastAsia="Calibri" w:hAnsi="Cambria"/>
                <w:i/>
                <w:sz w:val="14"/>
                <w:szCs w:val="14"/>
                <w:lang w:val="en-GB"/>
              </w:rPr>
              <w:t>trivial</w:t>
            </w:r>
          </w:p>
        </w:tc>
      </w:tr>
      <w:tr w:rsidR="00873A87" w:rsidRPr="009C1AD8" w14:paraId="5221E20C" w14:textId="77777777" w:rsidTr="00DF6BD4">
        <w:trPr>
          <w:trHeight w:val="286"/>
        </w:trPr>
        <w:tc>
          <w:tcPr>
            <w:tcW w:w="0" w:type="auto"/>
            <w:vMerge/>
            <w:tcBorders>
              <w:top w:val="nil"/>
              <w:bottom w:val="single" w:sz="4" w:space="0" w:color="auto"/>
            </w:tcBorders>
            <w:shd w:val="clear" w:color="auto" w:fill="auto"/>
            <w:vAlign w:val="center"/>
          </w:tcPr>
          <w:p w14:paraId="4AE73F7A"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247B03AA"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shd w:val="clear" w:color="auto" w:fill="auto"/>
          </w:tcPr>
          <w:p w14:paraId="1E484A2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4vs2</w:t>
            </w:r>
          </w:p>
        </w:tc>
        <w:tc>
          <w:tcPr>
            <w:tcW w:w="641" w:type="dxa"/>
            <w:shd w:val="clear" w:color="auto" w:fill="auto"/>
          </w:tcPr>
          <w:p w14:paraId="5651994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shd w:val="clear" w:color="auto" w:fill="auto"/>
          </w:tcPr>
          <w:p w14:paraId="1371195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shd w:val="clear" w:color="auto" w:fill="auto"/>
          </w:tcPr>
          <w:p w14:paraId="74E630C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shd w:val="clear" w:color="auto" w:fill="auto"/>
          </w:tcPr>
          <w:p w14:paraId="3DEA9DD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0.66</w:t>
            </w:r>
          </w:p>
        </w:tc>
        <w:tc>
          <w:tcPr>
            <w:tcW w:w="1635" w:type="dxa"/>
            <w:shd w:val="clear" w:color="auto" w:fill="auto"/>
          </w:tcPr>
          <w:p w14:paraId="6CB5D64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-42.9; 44.24</w:t>
            </w:r>
          </w:p>
        </w:tc>
        <w:tc>
          <w:tcPr>
            <w:tcW w:w="1469" w:type="dxa"/>
            <w:shd w:val="clear" w:color="auto" w:fill="auto"/>
          </w:tcPr>
          <w:p w14:paraId="16EB7E0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0.997 (&lt; 0.01)</w:t>
            </w:r>
          </w:p>
        </w:tc>
        <w:tc>
          <w:tcPr>
            <w:tcW w:w="2166" w:type="dxa"/>
            <w:shd w:val="clear" w:color="auto" w:fill="auto"/>
          </w:tcPr>
          <w:p w14:paraId="634F7B2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0.38 (=.708)</w:t>
            </w:r>
          </w:p>
        </w:tc>
        <w:tc>
          <w:tcPr>
            <w:tcW w:w="1773" w:type="dxa"/>
          </w:tcPr>
          <w:p w14:paraId="7B35985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0.03, </w:t>
            </w:r>
            <w:r w:rsidRPr="009C1AD8">
              <w:rPr>
                <w:rFonts w:ascii="Cambria" w:eastAsia="Calibri" w:hAnsi="Cambria"/>
                <w:i/>
                <w:sz w:val="14"/>
                <w:szCs w:val="14"/>
                <w:lang w:val="en-GB"/>
              </w:rPr>
              <w:t>trivial</w:t>
            </w:r>
          </w:p>
        </w:tc>
      </w:tr>
      <w:tr w:rsidR="00873A87" w:rsidRPr="009C1AD8" w14:paraId="105F0CF2" w14:textId="77777777" w:rsidTr="00DF6BD4">
        <w:trPr>
          <w:trHeight w:val="286"/>
        </w:trPr>
        <w:tc>
          <w:tcPr>
            <w:tcW w:w="0" w:type="auto"/>
            <w:vMerge/>
            <w:tcBorders>
              <w:top w:val="nil"/>
              <w:bottom w:val="single" w:sz="4" w:space="0" w:color="auto"/>
            </w:tcBorders>
            <w:shd w:val="clear" w:color="auto" w:fill="auto"/>
            <w:vAlign w:val="center"/>
          </w:tcPr>
          <w:p w14:paraId="78E9D939"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3E3F4B01"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shd w:val="clear" w:color="auto" w:fill="auto"/>
          </w:tcPr>
          <w:p w14:paraId="1D2D436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4vs1</w:t>
            </w:r>
          </w:p>
        </w:tc>
        <w:tc>
          <w:tcPr>
            <w:tcW w:w="641" w:type="dxa"/>
            <w:shd w:val="clear" w:color="auto" w:fill="auto"/>
          </w:tcPr>
          <w:p w14:paraId="6C7F785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shd w:val="clear" w:color="auto" w:fill="auto"/>
          </w:tcPr>
          <w:p w14:paraId="7137BA9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shd w:val="clear" w:color="auto" w:fill="auto"/>
          </w:tcPr>
          <w:p w14:paraId="01FDA30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shd w:val="clear" w:color="auto" w:fill="auto"/>
          </w:tcPr>
          <w:p w14:paraId="7A64D0C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-2.51</w:t>
            </w:r>
          </w:p>
        </w:tc>
        <w:tc>
          <w:tcPr>
            <w:tcW w:w="1635" w:type="dxa"/>
            <w:shd w:val="clear" w:color="auto" w:fill="auto"/>
          </w:tcPr>
          <w:p w14:paraId="08A994A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-58.7; 53.68</w:t>
            </w:r>
          </w:p>
        </w:tc>
        <w:tc>
          <w:tcPr>
            <w:tcW w:w="1469" w:type="dxa"/>
            <w:shd w:val="clear" w:color="auto" w:fill="auto"/>
          </w:tcPr>
          <w:p w14:paraId="6CB94E2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0.995 (&lt; 0.01)</w:t>
            </w:r>
          </w:p>
        </w:tc>
        <w:tc>
          <w:tcPr>
            <w:tcW w:w="2166" w:type="dxa"/>
            <w:shd w:val="clear" w:color="auto" w:fill="auto"/>
          </w:tcPr>
          <w:p w14:paraId="1BF7BC1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-1.12 (=.266)</w:t>
            </w:r>
          </w:p>
        </w:tc>
        <w:tc>
          <w:tcPr>
            <w:tcW w:w="1773" w:type="dxa"/>
          </w:tcPr>
          <w:p w14:paraId="09F8298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-0.09, </w:t>
            </w:r>
            <w:r w:rsidRPr="009C1AD8">
              <w:rPr>
                <w:rFonts w:ascii="Cambria" w:eastAsia="Calibri" w:hAnsi="Cambria"/>
                <w:i/>
                <w:sz w:val="14"/>
                <w:szCs w:val="14"/>
                <w:lang w:val="en-GB"/>
              </w:rPr>
              <w:t>trivial</w:t>
            </w:r>
          </w:p>
        </w:tc>
      </w:tr>
      <w:tr w:rsidR="00873A87" w:rsidRPr="009C1AD8" w14:paraId="42187184" w14:textId="77777777" w:rsidTr="00DF6BD4">
        <w:trPr>
          <w:trHeight w:val="286"/>
        </w:trPr>
        <w:tc>
          <w:tcPr>
            <w:tcW w:w="0" w:type="auto"/>
            <w:vMerge/>
            <w:tcBorders>
              <w:top w:val="nil"/>
              <w:bottom w:val="single" w:sz="4" w:space="0" w:color="auto"/>
            </w:tcBorders>
            <w:shd w:val="clear" w:color="auto" w:fill="auto"/>
            <w:vAlign w:val="center"/>
          </w:tcPr>
          <w:p w14:paraId="29806A05"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3E700DF2"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bottom w:val="single" w:sz="4" w:space="0" w:color="auto"/>
            </w:tcBorders>
            <w:shd w:val="clear" w:color="auto" w:fill="auto"/>
          </w:tcPr>
          <w:p w14:paraId="6BD3C55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2vs1</w:t>
            </w:r>
          </w:p>
        </w:tc>
        <w:tc>
          <w:tcPr>
            <w:tcW w:w="641" w:type="dxa"/>
            <w:tcBorders>
              <w:bottom w:val="single" w:sz="4" w:space="0" w:color="auto"/>
            </w:tcBorders>
            <w:shd w:val="clear" w:color="auto" w:fill="auto"/>
          </w:tcPr>
          <w:p w14:paraId="364799C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bottom w:val="single" w:sz="4" w:space="0" w:color="auto"/>
            </w:tcBorders>
            <w:shd w:val="clear" w:color="auto" w:fill="auto"/>
          </w:tcPr>
          <w:p w14:paraId="73E3B0E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bottom w:val="single" w:sz="4" w:space="0" w:color="auto"/>
            </w:tcBorders>
            <w:shd w:val="clear" w:color="auto" w:fill="auto"/>
          </w:tcPr>
          <w:p w14:paraId="0107461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bottom w:val="single" w:sz="4" w:space="0" w:color="auto"/>
            </w:tcBorders>
            <w:shd w:val="clear" w:color="auto" w:fill="auto"/>
          </w:tcPr>
          <w:p w14:paraId="0F17EF9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-3.19</w:t>
            </w:r>
          </w:p>
        </w:tc>
        <w:tc>
          <w:tcPr>
            <w:tcW w:w="1635" w:type="dxa"/>
            <w:tcBorders>
              <w:bottom w:val="single" w:sz="4" w:space="0" w:color="auto"/>
            </w:tcBorders>
            <w:shd w:val="clear" w:color="auto" w:fill="auto"/>
          </w:tcPr>
          <w:p w14:paraId="244F3F8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-90.83; 84.45</w:t>
            </w:r>
          </w:p>
        </w:tc>
        <w:tc>
          <w:tcPr>
            <w:tcW w:w="1469" w:type="dxa"/>
            <w:tcBorders>
              <w:bottom w:val="single" w:sz="4" w:space="0" w:color="auto"/>
            </w:tcBorders>
            <w:shd w:val="clear" w:color="auto" w:fill="auto"/>
          </w:tcPr>
          <w:p w14:paraId="0F453B4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0.988 (&lt; 0.01)</w:t>
            </w:r>
          </w:p>
        </w:tc>
        <w:tc>
          <w:tcPr>
            <w:tcW w:w="2166" w:type="dxa"/>
            <w:tcBorders>
              <w:bottom w:val="single" w:sz="4" w:space="0" w:color="auto"/>
            </w:tcBorders>
            <w:shd w:val="clear" w:color="auto" w:fill="auto"/>
          </w:tcPr>
          <w:p w14:paraId="6E00067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-0.90 (=.369)</w:t>
            </w:r>
          </w:p>
        </w:tc>
        <w:tc>
          <w:tcPr>
            <w:tcW w:w="1773" w:type="dxa"/>
            <w:tcBorders>
              <w:bottom w:val="single" w:sz="4" w:space="0" w:color="auto"/>
            </w:tcBorders>
          </w:tcPr>
          <w:p w14:paraId="120417F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-0.08, </w:t>
            </w:r>
            <w:r w:rsidRPr="009C1AD8">
              <w:rPr>
                <w:rFonts w:ascii="Cambria" w:eastAsia="Calibri" w:hAnsi="Cambria"/>
                <w:i/>
                <w:sz w:val="14"/>
                <w:szCs w:val="14"/>
                <w:lang w:val="en-GB"/>
              </w:rPr>
              <w:t>trivial</w:t>
            </w:r>
          </w:p>
        </w:tc>
      </w:tr>
      <w:tr w:rsidR="00873A87" w:rsidRPr="009C1AD8" w14:paraId="7EF837B8" w14:textId="77777777" w:rsidTr="00DF6BD4">
        <w:trPr>
          <w:trHeight w:val="286"/>
        </w:trPr>
        <w:tc>
          <w:tcPr>
            <w:tcW w:w="0" w:type="auto"/>
            <w:vMerge w:val="restart"/>
            <w:tcBorders>
              <w:top w:val="single" w:sz="4" w:space="0" w:color="auto"/>
            </w:tcBorders>
            <w:shd w:val="clear" w:color="auto" w:fill="auto"/>
            <w:vAlign w:val="center"/>
          </w:tcPr>
          <w:p w14:paraId="3EC7A86C"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Task 3</w:t>
            </w:r>
          </w:p>
        </w:tc>
        <w:tc>
          <w:tcPr>
            <w:tcW w:w="1752" w:type="dxa"/>
            <w:vMerge w:val="restart"/>
            <w:tcBorders>
              <w:top w:val="single" w:sz="4" w:space="0" w:color="auto"/>
              <w:bottom w:val="nil"/>
            </w:tcBorders>
            <w:shd w:val="clear" w:color="auto" w:fill="auto"/>
            <w:vAlign w:val="center"/>
          </w:tcPr>
          <w:p w14:paraId="0C951E6A" w14:textId="77777777" w:rsidR="00873A87" w:rsidRPr="009C1AD8" w:rsidRDefault="00873A87" w:rsidP="00DF6BD4">
            <w:pPr>
              <w:spacing w:before="60" w:after="60" w:line="360" w:lineRule="auto"/>
              <w:jc w:val="center"/>
              <w:rPr>
                <w:rFonts w:ascii="Cambria" w:eastAsia="Calibri" w:hAnsi="Cambria"/>
                <w:sz w:val="14"/>
                <w:szCs w:val="14"/>
                <w:lang w:val="en-GB"/>
              </w:rPr>
            </w:pPr>
            <w:r w:rsidRPr="009C1AD8">
              <w:rPr>
                <w:rFonts w:ascii="Cambria" w:eastAsia="Calibri" w:hAnsi="Cambria"/>
                <w:sz w:val="14"/>
                <w:szCs w:val="14"/>
                <w:lang w:val="en-GB"/>
              </w:rPr>
              <w:t>Total Area (m</w:t>
            </w:r>
            <w:r w:rsidRPr="009C1AD8">
              <w:rPr>
                <w:rFonts w:ascii="Cambria" w:eastAsia="Calibri" w:hAnsi="Cambria"/>
                <w:sz w:val="14"/>
                <w:szCs w:val="14"/>
                <w:vertAlign w:val="superscript"/>
                <w:lang w:val="en-GB"/>
              </w:rPr>
              <w:t>2</w:t>
            </w:r>
            <w:r w:rsidRPr="009C1AD8">
              <w:rPr>
                <w:rFonts w:ascii="Cambria" w:eastAsia="Calibri" w:hAnsi="Cambria"/>
                <w:sz w:val="14"/>
                <w:szCs w:val="14"/>
                <w:lang w:val="en-GB"/>
              </w:rPr>
              <w:t>)</w:t>
            </w:r>
          </w:p>
        </w:tc>
        <w:tc>
          <w:tcPr>
            <w:tcW w:w="2162" w:type="dxa"/>
            <w:tcBorders>
              <w:top w:val="single" w:sz="4" w:space="0" w:color="auto"/>
              <w:bottom w:val="nil"/>
            </w:tcBorders>
            <w:shd w:val="clear" w:color="auto" w:fill="auto"/>
          </w:tcPr>
          <w:p w14:paraId="4FBC808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10vs4</w:t>
            </w:r>
          </w:p>
        </w:tc>
        <w:tc>
          <w:tcPr>
            <w:tcW w:w="641" w:type="dxa"/>
            <w:tcBorders>
              <w:top w:val="single" w:sz="4" w:space="0" w:color="auto"/>
              <w:bottom w:val="nil"/>
            </w:tcBorders>
            <w:shd w:val="clear" w:color="auto" w:fill="auto"/>
          </w:tcPr>
          <w:p w14:paraId="0D9C9C5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single" w:sz="4" w:space="0" w:color="auto"/>
              <w:bottom w:val="nil"/>
            </w:tcBorders>
            <w:shd w:val="clear" w:color="auto" w:fill="auto"/>
          </w:tcPr>
          <w:p w14:paraId="4C262D1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w:t>
            </w:r>
          </w:p>
        </w:tc>
        <w:tc>
          <w:tcPr>
            <w:tcW w:w="1167" w:type="dxa"/>
            <w:tcBorders>
              <w:top w:val="single" w:sz="4" w:space="0" w:color="auto"/>
              <w:bottom w:val="nil"/>
            </w:tcBorders>
            <w:shd w:val="clear" w:color="auto" w:fill="auto"/>
          </w:tcPr>
          <w:p w14:paraId="6F9BA3E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1</w:t>
            </w:r>
          </w:p>
        </w:tc>
        <w:tc>
          <w:tcPr>
            <w:tcW w:w="797" w:type="dxa"/>
            <w:tcBorders>
              <w:top w:val="single" w:sz="4" w:space="0" w:color="auto"/>
              <w:bottom w:val="nil"/>
            </w:tcBorders>
            <w:shd w:val="clear" w:color="auto" w:fill="auto"/>
          </w:tcPr>
          <w:p w14:paraId="40EB3CF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-0.05</w:t>
            </w:r>
          </w:p>
        </w:tc>
        <w:tc>
          <w:tcPr>
            <w:tcW w:w="1635" w:type="dxa"/>
            <w:tcBorders>
              <w:top w:val="single" w:sz="4" w:space="0" w:color="auto"/>
              <w:bottom w:val="nil"/>
            </w:tcBorders>
            <w:shd w:val="clear" w:color="auto" w:fill="auto"/>
          </w:tcPr>
          <w:p w14:paraId="1B8DBE9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-4.92; 4.82</w:t>
            </w:r>
          </w:p>
        </w:tc>
        <w:tc>
          <w:tcPr>
            <w:tcW w:w="1469" w:type="dxa"/>
            <w:tcBorders>
              <w:top w:val="single" w:sz="4" w:space="0" w:color="auto"/>
              <w:bottom w:val="nil"/>
            </w:tcBorders>
            <w:shd w:val="clear" w:color="auto" w:fill="auto"/>
          </w:tcPr>
          <w:p w14:paraId="27D5AD4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 (&lt; 0.01)</w:t>
            </w:r>
          </w:p>
        </w:tc>
        <w:tc>
          <w:tcPr>
            <w:tcW w:w="2166" w:type="dxa"/>
            <w:tcBorders>
              <w:top w:val="single" w:sz="4" w:space="0" w:color="auto"/>
              <w:bottom w:val="nil"/>
            </w:tcBorders>
            <w:shd w:val="clear" w:color="auto" w:fill="auto"/>
          </w:tcPr>
          <w:p w14:paraId="4B65516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-0.3 (=.765)</w:t>
            </w:r>
          </w:p>
        </w:tc>
        <w:tc>
          <w:tcPr>
            <w:tcW w:w="1773" w:type="dxa"/>
            <w:tcBorders>
              <w:top w:val="single" w:sz="4" w:space="0" w:color="auto"/>
              <w:bottom w:val="nil"/>
            </w:tcBorders>
          </w:tcPr>
          <w:p w14:paraId="08F01F9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-0.03, </w:t>
            </w:r>
            <w:r w:rsidRPr="009C1AD8">
              <w:rPr>
                <w:rFonts w:ascii="Cambria" w:eastAsia="Calibri" w:hAnsi="Cambria"/>
                <w:i/>
                <w:sz w:val="14"/>
                <w:szCs w:val="14"/>
                <w:lang w:val="en-GB"/>
              </w:rPr>
              <w:t>trivial</w:t>
            </w:r>
          </w:p>
        </w:tc>
      </w:tr>
      <w:tr w:rsidR="00873A87" w:rsidRPr="009C1AD8" w14:paraId="61F6F5EA" w14:textId="77777777" w:rsidTr="00DF6BD4">
        <w:trPr>
          <w:trHeight w:val="286"/>
        </w:trPr>
        <w:tc>
          <w:tcPr>
            <w:tcW w:w="0" w:type="auto"/>
            <w:vMerge/>
            <w:shd w:val="clear" w:color="auto" w:fill="auto"/>
            <w:vAlign w:val="center"/>
          </w:tcPr>
          <w:p w14:paraId="137E8E93"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79305346"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4DF7954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10vs2</w:t>
            </w:r>
          </w:p>
        </w:tc>
        <w:tc>
          <w:tcPr>
            <w:tcW w:w="641" w:type="dxa"/>
            <w:tcBorders>
              <w:top w:val="nil"/>
              <w:bottom w:val="nil"/>
            </w:tcBorders>
            <w:shd w:val="clear" w:color="auto" w:fill="auto"/>
          </w:tcPr>
          <w:p w14:paraId="2E266730"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12515E3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nil"/>
            </w:tcBorders>
            <w:shd w:val="clear" w:color="auto" w:fill="auto"/>
          </w:tcPr>
          <w:p w14:paraId="56989CFA"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nil"/>
            </w:tcBorders>
            <w:shd w:val="clear" w:color="auto" w:fill="auto"/>
          </w:tcPr>
          <w:p w14:paraId="37CB0EB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-0.13</w:t>
            </w:r>
          </w:p>
        </w:tc>
        <w:tc>
          <w:tcPr>
            <w:tcW w:w="1635" w:type="dxa"/>
            <w:tcBorders>
              <w:top w:val="nil"/>
              <w:bottom w:val="nil"/>
            </w:tcBorders>
            <w:shd w:val="clear" w:color="auto" w:fill="auto"/>
          </w:tcPr>
          <w:p w14:paraId="040071E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-13.1; 12.84</w:t>
            </w:r>
          </w:p>
        </w:tc>
        <w:tc>
          <w:tcPr>
            <w:tcW w:w="1469" w:type="dxa"/>
            <w:tcBorders>
              <w:top w:val="nil"/>
              <w:bottom w:val="nil"/>
            </w:tcBorders>
            <w:shd w:val="clear" w:color="auto" w:fill="auto"/>
          </w:tcPr>
          <w:p w14:paraId="201E623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nil"/>
            </w:tcBorders>
            <w:shd w:val="clear" w:color="auto" w:fill="auto"/>
          </w:tcPr>
          <w:p w14:paraId="48AAB3C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-0.29 (=.769)</w:t>
            </w:r>
          </w:p>
        </w:tc>
        <w:tc>
          <w:tcPr>
            <w:tcW w:w="1773" w:type="dxa"/>
            <w:tcBorders>
              <w:top w:val="nil"/>
              <w:bottom w:val="nil"/>
            </w:tcBorders>
          </w:tcPr>
          <w:p w14:paraId="57BF539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-0.03, </w:t>
            </w:r>
            <w:r w:rsidRPr="009C1AD8">
              <w:rPr>
                <w:rFonts w:ascii="Cambria" w:eastAsia="Calibri" w:hAnsi="Cambria"/>
                <w:i/>
                <w:sz w:val="14"/>
                <w:szCs w:val="14"/>
                <w:lang w:val="en-GB"/>
              </w:rPr>
              <w:t>trivial</w:t>
            </w:r>
          </w:p>
        </w:tc>
      </w:tr>
      <w:tr w:rsidR="00873A87" w:rsidRPr="009C1AD8" w14:paraId="3EBF93FC" w14:textId="77777777" w:rsidTr="00DF6BD4">
        <w:trPr>
          <w:trHeight w:val="286"/>
        </w:trPr>
        <w:tc>
          <w:tcPr>
            <w:tcW w:w="0" w:type="auto"/>
            <w:vMerge/>
            <w:shd w:val="clear" w:color="auto" w:fill="auto"/>
            <w:vAlign w:val="center"/>
          </w:tcPr>
          <w:p w14:paraId="5A44E9F9"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20D0D8BD"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071797F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10vs1</w:t>
            </w:r>
          </w:p>
        </w:tc>
        <w:tc>
          <w:tcPr>
            <w:tcW w:w="641" w:type="dxa"/>
            <w:tcBorders>
              <w:top w:val="nil"/>
              <w:bottom w:val="nil"/>
            </w:tcBorders>
            <w:shd w:val="clear" w:color="auto" w:fill="auto"/>
          </w:tcPr>
          <w:p w14:paraId="2F2E89C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276821A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nil"/>
            </w:tcBorders>
            <w:shd w:val="clear" w:color="auto" w:fill="auto"/>
          </w:tcPr>
          <w:p w14:paraId="60DF203D"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nil"/>
            </w:tcBorders>
            <w:shd w:val="clear" w:color="auto" w:fill="auto"/>
          </w:tcPr>
          <w:p w14:paraId="6AE49C9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-0.41</w:t>
            </w:r>
          </w:p>
        </w:tc>
        <w:tc>
          <w:tcPr>
            <w:tcW w:w="1635" w:type="dxa"/>
            <w:tcBorders>
              <w:top w:val="nil"/>
              <w:bottom w:val="nil"/>
            </w:tcBorders>
            <w:shd w:val="clear" w:color="auto" w:fill="auto"/>
          </w:tcPr>
          <w:p w14:paraId="5F579A2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-29.88; 29.06</w:t>
            </w:r>
          </w:p>
        </w:tc>
        <w:tc>
          <w:tcPr>
            <w:tcW w:w="1469" w:type="dxa"/>
            <w:tcBorders>
              <w:top w:val="nil"/>
              <w:bottom w:val="nil"/>
            </w:tcBorders>
            <w:shd w:val="clear" w:color="auto" w:fill="auto"/>
          </w:tcPr>
          <w:p w14:paraId="3EC0BF0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nil"/>
            </w:tcBorders>
            <w:shd w:val="clear" w:color="auto" w:fill="auto"/>
          </w:tcPr>
          <w:p w14:paraId="036D3D9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-0.42 (=.674)</w:t>
            </w:r>
          </w:p>
        </w:tc>
        <w:tc>
          <w:tcPr>
            <w:tcW w:w="1773" w:type="dxa"/>
            <w:tcBorders>
              <w:top w:val="nil"/>
              <w:bottom w:val="nil"/>
            </w:tcBorders>
          </w:tcPr>
          <w:p w14:paraId="10E1BA9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-0.04, </w:t>
            </w:r>
            <w:r w:rsidRPr="009C1AD8">
              <w:rPr>
                <w:rFonts w:ascii="Cambria" w:eastAsia="Calibri" w:hAnsi="Cambria"/>
                <w:i/>
                <w:sz w:val="14"/>
                <w:szCs w:val="14"/>
                <w:lang w:val="en-GB"/>
              </w:rPr>
              <w:t>trivial</w:t>
            </w:r>
          </w:p>
        </w:tc>
      </w:tr>
      <w:tr w:rsidR="00873A87" w:rsidRPr="009C1AD8" w14:paraId="52C34D62" w14:textId="77777777" w:rsidTr="00DF6BD4">
        <w:trPr>
          <w:trHeight w:val="286"/>
        </w:trPr>
        <w:tc>
          <w:tcPr>
            <w:tcW w:w="0" w:type="auto"/>
            <w:vMerge/>
            <w:shd w:val="clear" w:color="auto" w:fill="auto"/>
            <w:vAlign w:val="center"/>
          </w:tcPr>
          <w:p w14:paraId="569D0AAE"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61AF90C6"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2751D46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4vs2</w:t>
            </w:r>
          </w:p>
        </w:tc>
        <w:tc>
          <w:tcPr>
            <w:tcW w:w="641" w:type="dxa"/>
            <w:tcBorders>
              <w:top w:val="nil"/>
              <w:bottom w:val="nil"/>
            </w:tcBorders>
            <w:shd w:val="clear" w:color="auto" w:fill="auto"/>
          </w:tcPr>
          <w:p w14:paraId="094EFA9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35EF638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nil"/>
            </w:tcBorders>
            <w:shd w:val="clear" w:color="auto" w:fill="auto"/>
          </w:tcPr>
          <w:p w14:paraId="3BC9ACCC"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nil"/>
            </w:tcBorders>
            <w:shd w:val="clear" w:color="auto" w:fill="auto"/>
          </w:tcPr>
          <w:p w14:paraId="42F6F2E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-0.36</w:t>
            </w:r>
          </w:p>
        </w:tc>
        <w:tc>
          <w:tcPr>
            <w:tcW w:w="1635" w:type="dxa"/>
            <w:tcBorders>
              <w:top w:val="nil"/>
              <w:bottom w:val="nil"/>
            </w:tcBorders>
            <w:shd w:val="clear" w:color="auto" w:fill="auto"/>
          </w:tcPr>
          <w:p w14:paraId="16D0D41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-8.51; 7.79</w:t>
            </w:r>
          </w:p>
        </w:tc>
        <w:tc>
          <w:tcPr>
            <w:tcW w:w="1469" w:type="dxa"/>
            <w:tcBorders>
              <w:top w:val="nil"/>
              <w:bottom w:val="nil"/>
            </w:tcBorders>
            <w:shd w:val="clear" w:color="auto" w:fill="auto"/>
          </w:tcPr>
          <w:p w14:paraId="646475B4"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nil"/>
            </w:tcBorders>
            <w:shd w:val="clear" w:color="auto" w:fill="auto"/>
          </w:tcPr>
          <w:p w14:paraId="7D0458F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-0.29 (=.772)</w:t>
            </w:r>
          </w:p>
        </w:tc>
        <w:tc>
          <w:tcPr>
            <w:tcW w:w="1773" w:type="dxa"/>
            <w:tcBorders>
              <w:top w:val="nil"/>
              <w:bottom w:val="nil"/>
            </w:tcBorders>
          </w:tcPr>
          <w:p w14:paraId="2AD544F6"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-0.03, </w:t>
            </w:r>
            <w:r w:rsidRPr="009C1AD8">
              <w:rPr>
                <w:rFonts w:ascii="Cambria" w:eastAsia="Calibri" w:hAnsi="Cambria"/>
                <w:i/>
                <w:sz w:val="14"/>
                <w:szCs w:val="14"/>
                <w:lang w:val="en-GB"/>
              </w:rPr>
              <w:t>trivial</w:t>
            </w:r>
          </w:p>
        </w:tc>
      </w:tr>
      <w:tr w:rsidR="00873A87" w:rsidRPr="009C1AD8" w14:paraId="738B9DF3" w14:textId="77777777" w:rsidTr="00DF6BD4">
        <w:trPr>
          <w:trHeight w:val="286"/>
        </w:trPr>
        <w:tc>
          <w:tcPr>
            <w:tcW w:w="0" w:type="auto"/>
            <w:vMerge/>
            <w:shd w:val="clear" w:color="auto" w:fill="auto"/>
            <w:vAlign w:val="center"/>
          </w:tcPr>
          <w:p w14:paraId="297C9566"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nil"/>
            </w:tcBorders>
            <w:shd w:val="clear" w:color="auto" w:fill="auto"/>
            <w:vAlign w:val="center"/>
          </w:tcPr>
          <w:p w14:paraId="2B7C3A01"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nil"/>
            </w:tcBorders>
            <w:shd w:val="clear" w:color="auto" w:fill="auto"/>
          </w:tcPr>
          <w:p w14:paraId="57CA0AE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4vs1</w:t>
            </w:r>
          </w:p>
        </w:tc>
        <w:tc>
          <w:tcPr>
            <w:tcW w:w="641" w:type="dxa"/>
            <w:tcBorders>
              <w:top w:val="nil"/>
              <w:bottom w:val="nil"/>
            </w:tcBorders>
            <w:shd w:val="clear" w:color="auto" w:fill="auto"/>
          </w:tcPr>
          <w:p w14:paraId="7D12531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nil"/>
            </w:tcBorders>
            <w:shd w:val="clear" w:color="auto" w:fill="auto"/>
          </w:tcPr>
          <w:p w14:paraId="430B1C4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nil"/>
            </w:tcBorders>
            <w:shd w:val="clear" w:color="auto" w:fill="auto"/>
          </w:tcPr>
          <w:p w14:paraId="1C49D2F3"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nil"/>
            </w:tcBorders>
            <w:shd w:val="clear" w:color="auto" w:fill="auto"/>
          </w:tcPr>
          <w:p w14:paraId="572E7C5B"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-0.36</w:t>
            </w:r>
          </w:p>
        </w:tc>
        <w:tc>
          <w:tcPr>
            <w:tcW w:w="1635" w:type="dxa"/>
            <w:tcBorders>
              <w:top w:val="nil"/>
              <w:bottom w:val="nil"/>
            </w:tcBorders>
            <w:shd w:val="clear" w:color="auto" w:fill="auto"/>
          </w:tcPr>
          <w:p w14:paraId="2D65A539"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-25.01; 24.29</w:t>
            </w:r>
          </w:p>
        </w:tc>
        <w:tc>
          <w:tcPr>
            <w:tcW w:w="1469" w:type="dxa"/>
            <w:tcBorders>
              <w:top w:val="nil"/>
              <w:bottom w:val="nil"/>
            </w:tcBorders>
            <w:shd w:val="clear" w:color="auto" w:fill="auto"/>
          </w:tcPr>
          <w:p w14:paraId="2F80405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nil"/>
            </w:tcBorders>
            <w:shd w:val="clear" w:color="auto" w:fill="auto"/>
          </w:tcPr>
          <w:p w14:paraId="66313221"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-0.45 (=.657)</w:t>
            </w:r>
          </w:p>
        </w:tc>
        <w:tc>
          <w:tcPr>
            <w:tcW w:w="1773" w:type="dxa"/>
            <w:tcBorders>
              <w:top w:val="nil"/>
              <w:bottom w:val="nil"/>
            </w:tcBorders>
          </w:tcPr>
          <w:p w14:paraId="085D04B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-0.04, </w:t>
            </w:r>
            <w:r w:rsidRPr="009C1AD8">
              <w:rPr>
                <w:rFonts w:ascii="Cambria" w:eastAsia="Calibri" w:hAnsi="Cambria"/>
                <w:i/>
                <w:sz w:val="14"/>
                <w:szCs w:val="14"/>
                <w:lang w:val="en-GB"/>
              </w:rPr>
              <w:t>trivial</w:t>
            </w:r>
          </w:p>
        </w:tc>
      </w:tr>
      <w:tr w:rsidR="00873A87" w:rsidRPr="009C1AD8" w14:paraId="7AF19883" w14:textId="77777777" w:rsidTr="00DF6BD4">
        <w:trPr>
          <w:trHeight w:val="286"/>
        </w:trPr>
        <w:tc>
          <w:tcPr>
            <w:tcW w:w="0" w:type="auto"/>
            <w:vMerge/>
            <w:tcBorders>
              <w:bottom w:val="single" w:sz="4" w:space="0" w:color="auto"/>
            </w:tcBorders>
            <w:shd w:val="clear" w:color="auto" w:fill="auto"/>
            <w:vAlign w:val="center"/>
          </w:tcPr>
          <w:p w14:paraId="4E376492"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1752" w:type="dxa"/>
            <w:vMerge/>
            <w:tcBorders>
              <w:top w:val="nil"/>
              <w:bottom w:val="single" w:sz="4" w:space="0" w:color="auto"/>
            </w:tcBorders>
            <w:shd w:val="clear" w:color="auto" w:fill="auto"/>
            <w:vAlign w:val="center"/>
          </w:tcPr>
          <w:p w14:paraId="3E1A0117" w14:textId="77777777" w:rsidR="00873A87" w:rsidRPr="009C1AD8" w:rsidRDefault="00873A87" w:rsidP="00DF6BD4">
            <w:pPr>
              <w:spacing w:before="60" w:after="60" w:line="360" w:lineRule="auto"/>
              <w:jc w:val="center"/>
              <w:rPr>
                <w:rFonts w:ascii="Cambria" w:eastAsia="Calibri" w:hAnsi="Cambria"/>
                <w:sz w:val="14"/>
                <w:szCs w:val="14"/>
                <w:lang w:val="en-GB"/>
              </w:rPr>
            </w:pPr>
          </w:p>
        </w:tc>
        <w:tc>
          <w:tcPr>
            <w:tcW w:w="2162" w:type="dxa"/>
            <w:tcBorders>
              <w:top w:val="nil"/>
              <w:bottom w:val="single" w:sz="4" w:space="0" w:color="auto"/>
            </w:tcBorders>
            <w:shd w:val="clear" w:color="auto" w:fill="auto"/>
          </w:tcPr>
          <w:p w14:paraId="06A8B736"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2vs1</w:t>
            </w:r>
          </w:p>
        </w:tc>
        <w:tc>
          <w:tcPr>
            <w:tcW w:w="641" w:type="dxa"/>
            <w:tcBorders>
              <w:top w:val="nil"/>
              <w:bottom w:val="single" w:sz="4" w:space="0" w:color="auto"/>
            </w:tcBorders>
            <w:shd w:val="clear" w:color="auto" w:fill="auto"/>
          </w:tcPr>
          <w:p w14:paraId="11893CA8"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300</w:t>
            </w:r>
          </w:p>
        </w:tc>
        <w:tc>
          <w:tcPr>
            <w:tcW w:w="728" w:type="dxa"/>
            <w:tcBorders>
              <w:top w:val="nil"/>
              <w:bottom w:val="single" w:sz="4" w:space="0" w:color="auto"/>
            </w:tcBorders>
            <w:shd w:val="clear" w:color="auto" w:fill="auto"/>
          </w:tcPr>
          <w:p w14:paraId="58E8A8A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w:t>
            </w:r>
          </w:p>
        </w:tc>
        <w:tc>
          <w:tcPr>
            <w:tcW w:w="1167" w:type="dxa"/>
            <w:tcBorders>
              <w:top w:val="nil"/>
              <w:bottom w:val="single" w:sz="4" w:space="0" w:color="auto"/>
            </w:tcBorders>
            <w:shd w:val="clear" w:color="auto" w:fill="auto"/>
          </w:tcPr>
          <w:p w14:paraId="709C2F7E"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0.99</w:t>
            </w:r>
          </w:p>
        </w:tc>
        <w:tc>
          <w:tcPr>
            <w:tcW w:w="797" w:type="dxa"/>
            <w:tcBorders>
              <w:top w:val="nil"/>
              <w:bottom w:val="single" w:sz="4" w:space="0" w:color="auto"/>
            </w:tcBorders>
            <w:shd w:val="clear" w:color="auto" w:fill="auto"/>
          </w:tcPr>
          <w:p w14:paraId="32D6E085"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-0.28</w:t>
            </w:r>
          </w:p>
        </w:tc>
        <w:tc>
          <w:tcPr>
            <w:tcW w:w="1635" w:type="dxa"/>
            <w:tcBorders>
              <w:top w:val="nil"/>
              <w:bottom w:val="single" w:sz="4" w:space="0" w:color="auto"/>
            </w:tcBorders>
            <w:shd w:val="clear" w:color="auto" w:fill="auto"/>
          </w:tcPr>
          <w:p w14:paraId="78702FF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-16.87; 16.31</w:t>
            </w:r>
          </w:p>
        </w:tc>
        <w:tc>
          <w:tcPr>
            <w:tcW w:w="1469" w:type="dxa"/>
            <w:tcBorders>
              <w:top w:val="nil"/>
              <w:bottom w:val="single" w:sz="4" w:space="0" w:color="auto"/>
            </w:tcBorders>
            <w:shd w:val="clear" w:color="auto" w:fill="auto"/>
          </w:tcPr>
          <w:p w14:paraId="02EC4AC2"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0.99 (&lt; 0.01)</w:t>
            </w:r>
          </w:p>
        </w:tc>
        <w:tc>
          <w:tcPr>
            <w:tcW w:w="2166" w:type="dxa"/>
            <w:tcBorders>
              <w:top w:val="nil"/>
              <w:bottom w:val="single" w:sz="4" w:space="0" w:color="auto"/>
            </w:tcBorders>
            <w:shd w:val="clear" w:color="auto" w:fill="auto"/>
          </w:tcPr>
          <w:p w14:paraId="3DFCA10F"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-0.52 (=.605)</w:t>
            </w:r>
          </w:p>
        </w:tc>
        <w:tc>
          <w:tcPr>
            <w:tcW w:w="1773" w:type="dxa"/>
            <w:tcBorders>
              <w:top w:val="nil"/>
              <w:bottom w:val="single" w:sz="4" w:space="0" w:color="auto"/>
            </w:tcBorders>
          </w:tcPr>
          <w:p w14:paraId="1FBB9937" w14:textId="77777777" w:rsidR="00873A87" w:rsidRPr="009C1AD8" w:rsidRDefault="00873A87" w:rsidP="00DF6BD4">
            <w:pPr>
              <w:spacing w:before="60" w:after="60" w:line="360" w:lineRule="auto"/>
              <w:rPr>
                <w:rFonts w:ascii="Cambria" w:eastAsia="Calibri" w:hAnsi="Cambria"/>
                <w:sz w:val="14"/>
                <w:szCs w:val="14"/>
                <w:lang w:val="en-GB"/>
              </w:rPr>
            </w:pPr>
            <w:r w:rsidRPr="009C1AD8">
              <w:rPr>
                <w:rFonts w:ascii="Cambria" w:eastAsia="Calibri" w:hAnsi="Cambria"/>
                <w:sz w:val="14"/>
                <w:szCs w:val="14"/>
                <w:lang w:val="en-GB"/>
              </w:rPr>
              <w:t xml:space="preserve">-0.04, </w:t>
            </w:r>
            <w:r w:rsidRPr="009C1AD8">
              <w:rPr>
                <w:rFonts w:ascii="Cambria" w:eastAsia="Calibri" w:hAnsi="Cambria"/>
                <w:i/>
                <w:sz w:val="14"/>
                <w:szCs w:val="14"/>
                <w:lang w:val="en-GB"/>
              </w:rPr>
              <w:t>trivial</w:t>
            </w:r>
          </w:p>
        </w:tc>
      </w:tr>
      <w:tr w:rsidR="00873A87" w:rsidRPr="009C1AD8" w14:paraId="18502F77" w14:textId="77777777" w:rsidTr="00DF6BD4">
        <w:trPr>
          <w:trHeight w:val="286"/>
        </w:trPr>
        <w:tc>
          <w:tcPr>
            <w:tcW w:w="14884" w:type="dxa"/>
            <w:gridSpan w:val="11"/>
            <w:tcBorders>
              <w:top w:val="single" w:sz="4" w:space="0" w:color="auto"/>
              <w:bottom w:val="nil"/>
            </w:tcBorders>
            <w:shd w:val="clear" w:color="auto" w:fill="auto"/>
            <w:vAlign w:val="center"/>
          </w:tcPr>
          <w:p w14:paraId="2174C903" w14:textId="77777777" w:rsidR="00873A87" w:rsidRPr="009C1AD8" w:rsidRDefault="00873A87" w:rsidP="00DF6BD4">
            <w:pPr>
              <w:spacing w:line="480" w:lineRule="auto"/>
              <w:jc w:val="both"/>
              <w:rPr>
                <w:rFonts w:ascii="Cambria" w:eastAsia="Calibri" w:hAnsi="Cambria"/>
                <w:sz w:val="20"/>
                <w:szCs w:val="20"/>
                <w:lang w:val="en-GB"/>
              </w:rPr>
            </w:pPr>
            <w:r w:rsidRPr="009C1AD8">
              <w:rPr>
                <w:rFonts w:ascii="Cambria" w:eastAsia="Calibri" w:hAnsi="Cambria"/>
                <w:sz w:val="20"/>
                <w:szCs w:val="20"/>
                <w:lang w:val="en-GB"/>
              </w:rPr>
              <w:t>Hz: hertz; M</w:t>
            </w:r>
            <w:r w:rsidRPr="009C1AD8">
              <w:rPr>
                <w:rFonts w:ascii="Cambria" w:eastAsia="Calibri" w:hAnsi="Cambria"/>
                <w:sz w:val="20"/>
                <w:szCs w:val="20"/>
                <w:vertAlign w:val="superscript"/>
                <w:lang w:val="en-GB"/>
              </w:rPr>
              <w:t>2</w:t>
            </w:r>
            <w:r w:rsidRPr="009C1AD8">
              <w:rPr>
                <w:rFonts w:ascii="Cambria" w:eastAsia="Calibri" w:hAnsi="Cambria"/>
                <w:sz w:val="20"/>
                <w:szCs w:val="20"/>
                <w:lang w:val="en-GB"/>
              </w:rPr>
              <w:t>: square metres; p: p value; r: Pearson r; t: t test; %: percentage</w:t>
            </w:r>
          </w:p>
        </w:tc>
      </w:tr>
    </w:tbl>
    <w:p w14:paraId="5739A49F" w14:textId="77777777" w:rsidR="00873A87" w:rsidRPr="009C1AD8" w:rsidRDefault="00873A87" w:rsidP="00873A87">
      <w:pPr>
        <w:rPr>
          <w:rFonts w:ascii="Cambria" w:hAnsi="Cambria"/>
        </w:rPr>
      </w:pPr>
    </w:p>
    <w:p w14:paraId="596D5109" w14:textId="77777777" w:rsidR="00873A87" w:rsidRPr="009C1AD8" w:rsidRDefault="00873A87">
      <w:pPr>
        <w:suppressAutoHyphens w:val="0"/>
        <w:rPr>
          <w:rFonts w:ascii="Cambria" w:eastAsia="Cambria" w:hAnsi="Cambria" w:cs="Cambria"/>
          <w:b/>
          <w:color w:val="000000"/>
          <w:sz w:val="22"/>
          <w:szCs w:val="22"/>
        </w:rPr>
        <w:sectPr w:rsidR="00873A87" w:rsidRPr="009C1AD8" w:rsidSect="00873A87">
          <w:pgSz w:w="16837" w:h="11905" w:orient="landscape"/>
          <w:pgMar w:top="1418" w:right="1418" w:bottom="1134" w:left="1134" w:header="567" w:footer="720" w:gutter="0"/>
          <w:pgNumType w:start="1"/>
          <w:cols w:space="720"/>
          <w:titlePg/>
        </w:sectPr>
      </w:pPr>
    </w:p>
    <w:p w14:paraId="51CAA7FA" w14:textId="77777777" w:rsidR="00E625F1" w:rsidRPr="009C1AD8" w:rsidRDefault="00E625F1" w:rsidP="00E625F1">
      <w:pPr>
        <w:spacing w:after="120"/>
        <w:jc w:val="both"/>
        <w:rPr>
          <w:rFonts w:ascii="Cambria" w:hAnsi="Cambria"/>
          <w:lang w:val="en-GB"/>
        </w:rPr>
      </w:pPr>
    </w:p>
    <w:p w14:paraId="669AF643" w14:textId="77777777" w:rsidR="00E625F1" w:rsidRPr="009C1AD8" w:rsidRDefault="00E625F1" w:rsidP="00E625F1">
      <w:pPr>
        <w:spacing w:after="120"/>
        <w:jc w:val="both"/>
        <w:rPr>
          <w:rFonts w:ascii="Cambria" w:hAnsi="Cambria"/>
          <w:lang w:val="en-GB"/>
        </w:rPr>
      </w:pPr>
    </w:p>
    <w:p w14:paraId="61E65D60" w14:textId="77777777" w:rsidR="00E625F1" w:rsidRPr="009C1AD8" w:rsidRDefault="00E625F1" w:rsidP="00E625F1">
      <w:pPr>
        <w:spacing w:after="120"/>
        <w:jc w:val="both"/>
        <w:rPr>
          <w:rFonts w:ascii="Cambria" w:hAnsi="Cambria"/>
          <w:lang w:val="en-GB"/>
        </w:rPr>
      </w:pPr>
    </w:p>
    <w:p w14:paraId="5D992170" w14:textId="77777777" w:rsidR="00E625F1" w:rsidRPr="009C1AD8" w:rsidRDefault="00E625F1" w:rsidP="00E625F1">
      <w:pPr>
        <w:spacing w:after="120"/>
        <w:jc w:val="both"/>
        <w:rPr>
          <w:rFonts w:ascii="Cambria" w:hAnsi="Cambria"/>
          <w:lang w:val="en-GB"/>
        </w:rPr>
      </w:pPr>
    </w:p>
    <w:p w14:paraId="56A49F4D" w14:textId="77777777" w:rsidR="00E625F1" w:rsidRPr="009C1AD8" w:rsidRDefault="00E625F1" w:rsidP="00E625F1">
      <w:pPr>
        <w:spacing w:after="120"/>
        <w:jc w:val="both"/>
        <w:rPr>
          <w:rFonts w:ascii="Cambria" w:hAnsi="Cambria"/>
          <w:lang w:val="en-GB"/>
        </w:rPr>
      </w:pPr>
    </w:p>
    <w:p w14:paraId="0480301B" w14:textId="77777777" w:rsidR="00E625F1" w:rsidRPr="009C1AD8" w:rsidRDefault="00E625F1" w:rsidP="00E625F1">
      <w:pPr>
        <w:spacing w:after="120"/>
        <w:jc w:val="both"/>
        <w:rPr>
          <w:rFonts w:ascii="Cambria" w:hAnsi="Cambria"/>
          <w:lang w:val="en-GB"/>
        </w:rPr>
      </w:pPr>
    </w:p>
    <w:p w14:paraId="44C23B33" w14:textId="77777777" w:rsidR="00E625F1" w:rsidRPr="009C1AD8" w:rsidRDefault="00E625F1" w:rsidP="00E625F1">
      <w:pPr>
        <w:spacing w:after="120"/>
        <w:jc w:val="both"/>
        <w:rPr>
          <w:rFonts w:ascii="Cambria" w:hAnsi="Cambria"/>
          <w:lang w:val="en-GB"/>
        </w:rPr>
      </w:pPr>
    </w:p>
    <w:p w14:paraId="6A65E0A0" w14:textId="77777777" w:rsidR="00E625F1" w:rsidRPr="009C1AD8" w:rsidRDefault="00A20521" w:rsidP="00E625F1">
      <w:pPr>
        <w:spacing w:after="120"/>
        <w:jc w:val="both"/>
        <w:rPr>
          <w:rFonts w:ascii="Cambria" w:hAnsi="Cambria"/>
          <w:lang w:val="en-GB"/>
        </w:rPr>
      </w:pPr>
      <w:r>
        <w:rPr>
          <w:rFonts w:ascii="Cambria" w:hAnsi="Cambria"/>
          <w:lang w:val="en-GB"/>
        </w:rPr>
        <w:pict w14:anchorId="7E6742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3.4pt;height:169pt">
            <v:imagedata r:id="rId19" o:title="Figure 1"/>
          </v:shape>
        </w:pict>
      </w:r>
      <w:r w:rsidR="00E625F1" w:rsidRPr="009C1AD8">
        <w:rPr>
          <w:rFonts w:ascii="Cambria" w:hAnsi="Cambria"/>
          <w:b/>
          <w:sz w:val="20"/>
          <w:szCs w:val="20"/>
          <w:lang w:val="en-GB"/>
        </w:rPr>
        <w:t>Figure 1.</w:t>
      </w:r>
      <w:r w:rsidR="00E625F1" w:rsidRPr="009C1AD8">
        <w:rPr>
          <w:rFonts w:ascii="Cambria" w:hAnsi="Cambria"/>
          <w:sz w:val="20"/>
          <w:szCs w:val="20"/>
          <w:lang w:val="en-GB"/>
        </w:rPr>
        <w:t xml:space="preserve"> Representation of a) Task 1; b) Task 2; and c) Task 3. Total Area is represented as yellow and black polygons, players in same colours defining area as vertexes.</w:t>
      </w:r>
    </w:p>
    <w:p w14:paraId="616756CE" w14:textId="77777777" w:rsidR="00E625F1" w:rsidRPr="009C1AD8" w:rsidRDefault="00E625F1" w:rsidP="00E625F1">
      <w:pPr>
        <w:spacing w:after="120"/>
        <w:jc w:val="both"/>
        <w:rPr>
          <w:rFonts w:ascii="Cambria" w:hAnsi="Cambria"/>
          <w:lang w:val="en-GB"/>
        </w:rPr>
      </w:pPr>
    </w:p>
    <w:p w14:paraId="547A0044" w14:textId="77777777" w:rsidR="00E625F1" w:rsidRPr="009C1AD8" w:rsidRDefault="00E625F1" w:rsidP="00E625F1">
      <w:pPr>
        <w:spacing w:after="120"/>
        <w:jc w:val="both"/>
        <w:rPr>
          <w:rFonts w:ascii="Cambria" w:hAnsi="Cambria"/>
          <w:lang w:val="en-GB"/>
        </w:rPr>
      </w:pPr>
    </w:p>
    <w:tbl>
      <w:tblPr>
        <w:tblW w:w="0" w:type="auto"/>
        <w:jc w:val="center"/>
        <w:tblLook w:val="04A0" w:firstRow="1" w:lastRow="0" w:firstColumn="1" w:lastColumn="0" w:noHBand="0" w:noVBand="1"/>
      </w:tblPr>
      <w:tblGrid>
        <w:gridCol w:w="8736"/>
      </w:tblGrid>
      <w:tr w:rsidR="00E625F1" w:rsidRPr="009C1AD8" w14:paraId="43FCE5B6" w14:textId="77777777" w:rsidTr="00E625F1">
        <w:trPr>
          <w:jc w:val="center"/>
        </w:trPr>
        <w:tc>
          <w:tcPr>
            <w:tcW w:w="8644" w:type="dxa"/>
            <w:shd w:val="clear" w:color="auto" w:fill="auto"/>
          </w:tcPr>
          <w:p w14:paraId="67690BF7" w14:textId="77777777" w:rsidR="00E625F1" w:rsidRPr="009C1AD8" w:rsidRDefault="00E625F1" w:rsidP="00DF6BD4">
            <w:pPr>
              <w:spacing w:after="120"/>
              <w:jc w:val="both"/>
              <w:rPr>
                <w:rFonts w:ascii="Cambria" w:hAnsi="Cambria"/>
                <w:lang w:val="en-GB"/>
              </w:rPr>
            </w:pPr>
            <w:r w:rsidRPr="009C1AD8">
              <w:rPr>
                <w:rFonts w:ascii="Cambria" w:hAnsi="Cambria"/>
                <w:noProof/>
                <w:lang w:val="es-ES" w:eastAsia="es-ES"/>
              </w:rPr>
              <w:lastRenderedPageBreak/>
              <w:drawing>
                <wp:inline distT="0" distB="0" distL="0" distR="0" wp14:anchorId="5A7BA537" wp14:editId="547E25E4">
                  <wp:extent cx="5401945" cy="4902835"/>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1945" cy="4902835"/>
                          </a:xfrm>
                          <a:prstGeom prst="rect">
                            <a:avLst/>
                          </a:prstGeom>
                          <a:noFill/>
                          <a:ln>
                            <a:noFill/>
                          </a:ln>
                        </pic:spPr>
                      </pic:pic>
                    </a:graphicData>
                  </a:graphic>
                </wp:inline>
              </w:drawing>
            </w:r>
          </w:p>
        </w:tc>
      </w:tr>
      <w:tr w:rsidR="00E625F1" w:rsidRPr="009C1AD8" w14:paraId="5EB1FC2A" w14:textId="77777777" w:rsidTr="00E625F1">
        <w:trPr>
          <w:jc w:val="center"/>
        </w:trPr>
        <w:tc>
          <w:tcPr>
            <w:tcW w:w="8644" w:type="dxa"/>
            <w:shd w:val="clear" w:color="auto" w:fill="auto"/>
          </w:tcPr>
          <w:p w14:paraId="58054EEF" w14:textId="77777777" w:rsidR="00E625F1" w:rsidRPr="009C1AD8" w:rsidRDefault="00E625F1" w:rsidP="00DF6BD4">
            <w:pPr>
              <w:spacing w:after="120"/>
              <w:jc w:val="center"/>
              <w:rPr>
                <w:rFonts w:ascii="Cambria" w:hAnsi="Cambria"/>
                <w:sz w:val="20"/>
                <w:szCs w:val="20"/>
                <w:lang w:val="en-GB"/>
              </w:rPr>
            </w:pPr>
            <w:r w:rsidRPr="009C1AD8">
              <w:rPr>
                <w:rFonts w:ascii="Cambria" w:hAnsi="Cambria"/>
                <w:b/>
                <w:sz w:val="20"/>
                <w:szCs w:val="20"/>
                <w:lang w:val="en-GB"/>
              </w:rPr>
              <w:t>Figure 2.</w:t>
            </w:r>
            <w:r w:rsidRPr="009C1AD8">
              <w:rPr>
                <w:rFonts w:ascii="Cambria" w:hAnsi="Cambria"/>
                <w:sz w:val="20"/>
                <w:szCs w:val="20"/>
                <w:lang w:val="en-GB"/>
              </w:rPr>
              <w:t xml:space="preserve">  Mean representation of a) total area and b) change in centroid position (</w:t>
            </w:r>
            <w:proofErr w:type="gramStart"/>
            <w:r w:rsidRPr="009C1AD8">
              <w:rPr>
                <w:rFonts w:ascii="Cambria" w:hAnsi="Cambria"/>
                <w:sz w:val="20"/>
                <w:szCs w:val="20"/>
                <w:lang w:val="en-GB"/>
              </w:rPr>
              <w:t>i.e.</w:t>
            </w:r>
            <w:proofErr w:type="gramEnd"/>
            <w:r w:rsidRPr="009C1AD8">
              <w:rPr>
                <w:rFonts w:ascii="Cambria" w:hAnsi="Cambria"/>
                <w:sz w:val="20"/>
                <w:szCs w:val="20"/>
                <w:lang w:val="en-GB"/>
              </w:rPr>
              <w:t xml:space="preserve"> Task 1). TA= Total Area, CCP= Change in Centroid Position.</w:t>
            </w:r>
          </w:p>
        </w:tc>
      </w:tr>
    </w:tbl>
    <w:p w14:paraId="6D23D330" w14:textId="77777777" w:rsidR="00E625F1" w:rsidRPr="009C1AD8" w:rsidRDefault="00E625F1">
      <w:pPr>
        <w:suppressAutoHyphens w:val="0"/>
        <w:rPr>
          <w:rFonts w:ascii="Cambria" w:eastAsia="Cambria" w:hAnsi="Cambria" w:cs="Cambria"/>
          <w:b/>
          <w:color w:val="000000"/>
          <w:sz w:val="22"/>
          <w:szCs w:val="22"/>
        </w:rPr>
        <w:sectPr w:rsidR="00E625F1" w:rsidRPr="009C1AD8" w:rsidSect="00E625F1">
          <w:pgSz w:w="16837" w:h="11905" w:orient="landscape"/>
          <w:pgMar w:top="1418" w:right="1418" w:bottom="1134" w:left="1134" w:header="567" w:footer="720" w:gutter="0"/>
          <w:pgNumType w:start="1"/>
          <w:cols w:space="720"/>
          <w:titlePg/>
        </w:sectPr>
      </w:pPr>
    </w:p>
    <w:p w14:paraId="1269C2EA" w14:textId="77777777" w:rsidR="00BD3F0E" w:rsidRPr="009C1AD8" w:rsidRDefault="00BD3F0E" w:rsidP="00E625F1">
      <w:pPr>
        <w:suppressAutoHyphens w:val="0"/>
        <w:rPr>
          <w:rFonts w:ascii="Cambria" w:eastAsia="Cambria" w:hAnsi="Cambria" w:cs="Cambria"/>
          <w:b/>
          <w:sz w:val="22"/>
          <w:szCs w:val="22"/>
        </w:rPr>
      </w:pPr>
    </w:p>
    <w:sectPr w:rsidR="00BD3F0E" w:rsidRPr="009C1AD8">
      <w:pgSz w:w="11905" w:h="16837"/>
      <w:pgMar w:top="1418" w:right="1134" w:bottom="1134" w:left="1418" w:header="567" w:footer="720"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SUS" w:date="2023-08-16T22:05:00Z" w:initials="A">
    <w:p w14:paraId="48F2E60C" w14:textId="5361C63F" w:rsidR="00DB7783" w:rsidRDefault="00DB7783">
      <w:pPr>
        <w:pStyle w:val="CommentText"/>
      </w:pPr>
      <w:r>
        <w:rPr>
          <w:rStyle w:val="CommentReference"/>
        </w:rPr>
        <w:annotationRef/>
      </w:r>
      <w:r w:rsidR="00D8682C" w:rsidRPr="00D8682C">
        <w:t>Mention these 3 tasks directly.</w:t>
      </w:r>
    </w:p>
  </w:comment>
  <w:comment w:id="1" w:author="ASUS" w:date="2023-08-16T22:07:00Z" w:initials="A">
    <w:p w14:paraId="7F21DA8A" w14:textId="08B161D4" w:rsidR="00EA1363" w:rsidRDefault="00EA1363">
      <w:pPr>
        <w:pStyle w:val="CommentText"/>
      </w:pPr>
      <w:r>
        <w:rPr>
          <w:rStyle w:val="CommentReference"/>
        </w:rPr>
        <w:annotationRef/>
      </w:r>
      <w:r w:rsidR="00A20521" w:rsidRPr="00A20521">
        <w:t>Write down the data analysis technique used.</w:t>
      </w:r>
    </w:p>
  </w:comment>
  <w:comment w:id="3" w:author="ASUS" w:date="2023-08-16T22:15:00Z" w:initials="A">
    <w:p w14:paraId="3730F3DF" w14:textId="5FF77D99" w:rsidR="00EA1363" w:rsidRDefault="00EA1363">
      <w:pPr>
        <w:pStyle w:val="CommentText"/>
      </w:pPr>
      <w:r>
        <w:rPr>
          <w:rStyle w:val="CommentReference"/>
        </w:rPr>
        <w:annotationRef/>
      </w:r>
      <w:r w:rsidR="00A20521" w:rsidRPr="00A20521">
        <w:t>From these results, provide a conclusion that answers the purpose of your research</w:t>
      </w:r>
      <w:r>
        <w:t>.</w:t>
      </w:r>
    </w:p>
  </w:comment>
  <w:comment w:id="4" w:author="ASUS" w:date="2023-08-16T22:09:00Z" w:initials="A">
    <w:p w14:paraId="507F622B" w14:textId="067ECC17" w:rsidR="00EA1363" w:rsidRDefault="00EA1363">
      <w:pPr>
        <w:pStyle w:val="CommentText"/>
      </w:pPr>
      <w:r>
        <w:rPr>
          <w:rStyle w:val="CommentReference"/>
        </w:rPr>
        <w:annotationRef/>
      </w:r>
      <w:r w:rsidR="00A20521" w:rsidRPr="00A20521">
        <w:t>Does this sentence call the conclusion of your research?</w:t>
      </w:r>
    </w:p>
  </w:comment>
  <w:comment w:id="6" w:author="ASUS" w:date="2023-08-16T22:28:00Z" w:initials="A">
    <w:p w14:paraId="261115A4" w14:textId="6D7E13AF" w:rsidR="00D143AC" w:rsidRDefault="00D143AC">
      <w:pPr>
        <w:pStyle w:val="CommentText"/>
      </w:pPr>
      <w:r>
        <w:rPr>
          <w:rStyle w:val="CommentReference"/>
        </w:rPr>
        <w:annotationRef/>
      </w:r>
      <w:r w:rsidR="00A20521" w:rsidRPr="00A20521">
        <w:t>The first sentence with the second sentence is not continuous. Between sentences must be interconnected and need.</w:t>
      </w:r>
    </w:p>
  </w:comment>
  <w:comment w:id="9" w:author="ASUS" w:date="2023-08-16T22:34:00Z" w:initials="A">
    <w:p w14:paraId="1D8F7AB5" w14:textId="3D88C03C" w:rsidR="00D143AC" w:rsidRDefault="00D143AC">
      <w:pPr>
        <w:pStyle w:val="CommentText"/>
      </w:pPr>
      <w:r>
        <w:rPr>
          <w:rStyle w:val="CommentReference"/>
        </w:rPr>
        <w:annotationRef/>
      </w:r>
      <w:r w:rsidR="00A20521" w:rsidRPr="00A20521">
        <w:t>Make it in sentence form only without brackets.</w:t>
      </w:r>
    </w:p>
  </w:comment>
  <w:comment w:id="11" w:author="ASUS" w:date="2023-08-16T22:43:00Z" w:initials="A">
    <w:p w14:paraId="04ABB204" w14:textId="1D3D09C2" w:rsidR="00B325C8" w:rsidRDefault="00B325C8">
      <w:pPr>
        <w:pStyle w:val="CommentText"/>
      </w:pPr>
      <w:r>
        <w:rPr>
          <w:rStyle w:val="CommentReference"/>
        </w:rPr>
        <w:annotationRef/>
      </w:r>
      <w:r w:rsidR="00A20521" w:rsidRPr="00A20521">
        <w:t>Some of the studies cited are relatively old, such as from 2008 or earlier. Provide more recent references to show the current state of research in the field</w:t>
      </w:r>
      <w:r w:rsidRPr="00B325C8">
        <w:t>.</w:t>
      </w:r>
    </w:p>
  </w:comment>
  <w:comment w:id="13" w:author="ASUS" w:date="2023-08-16T22:45:00Z" w:initials="A">
    <w:p w14:paraId="10F0DAA3" w14:textId="71788FFD" w:rsidR="00B325C8" w:rsidRDefault="00B325C8">
      <w:pPr>
        <w:pStyle w:val="CommentText"/>
      </w:pPr>
      <w:r>
        <w:rPr>
          <w:rStyle w:val="CommentReference"/>
        </w:rPr>
        <w:annotationRef/>
      </w:r>
      <w:r>
        <w:rPr>
          <w:b/>
          <w:bCs/>
        </w:rPr>
        <w:t>Background alone, is not enough to be used as a novelty of this research. Provide previous research that is relevant to your research topic.</w:t>
      </w:r>
    </w:p>
  </w:comment>
  <w:comment w:id="14" w:author="ASUS" w:date="2023-08-16T22:41:00Z" w:initials="A">
    <w:p w14:paraId="43876988" w14:textId="32B93D87" w:rsidR="00B325C8" w:rsidRDefault="00B325C8">
      <w:pPr>
        <w:pStyle w:val="CommentText"/>
      </w:pPr>
      <w:r>
        <w:rPr>
          <w:rStyle w:val="CommentReference"/>
        </w:rPr>
        <w:annotationRef/>
      </w:r>
      <w:r w:rsidR="00A20521" w:rsidRPr="00A20521">
        <w:t>Although this article mentions a research objective to assess the impact of sampling frequency on measures of collective tactical behavior, it does not clearly state the objective or the specific research hypothesis to be tested.</w:t>
      </w:r>
    </w:p>
  </w:comment>
  <w:comment w:id="15" w:author="ASUS" w:date="2023-08-16T22:56:00Z" w:initials="A">
    <w:p w14:paraId="0A355288" w14:textId="747ACB9E" w:rsidR="00CB467C" w:rsidRDefault="00CB467C">
      <w:pPr>
        <w:pStyle w:val="CommentText"/>
      </w:pPr>
      <w:r>
        <w:rPr>
          <w:rStyle w:val="CommentReference"/>
        </w:rPr>
        <w:annotationRef/>
      </w:r>
      <w:r w:rsidR="00A20521" w:rsidRPr="00A20521">
        <w:t>Give the reasons behind the sample size chosen and acknowledge the potential limitations associated with sample size in terms of statistical power and generalizability.</w:t>
      </w:r>
    </w:p>
  </w:comment>
  <w:comment w:id="16" w:author="ASUS" w:date="2023-08-16T22:48:00Z" w:initials="A">
    <w:p w14:paraId="0D1FABAD" w14:textId="307AF53D" w:rsidR="00B325C8" w:rsidRDefault="00B325C8">
      <w:pPr>
        <w:pStyle w:val="CommentText"/>
      </w:pPr>
      <w:r>
        <w:rPr>
          <w:rStyle w:val="CommentReference"/>
        </w:rPr>
        <w:annotationRef/>
      </w:r>
      <w:r w:rsidR="00A20521" w:rsidRPr="00A20521">
        <w:t>Include a picture after providing this introductory sentence</w:t>
      </w:r>
      <w:r w:rsidR="00A20521">
        <w:t>.</w:t>
      </w:r>
    </w:p>
  </w:comment>
  <w:comment w:id="17" w:author="ASUS" w:date="2023-08-16T22:52:00Z" w:initials="A">
    <w:p w14:paraId="55C3CF94" w14:textId="1760168B" w:rsidR="00CB467C" w:rsidRDefault="00CB467C">
      <w:pPr>
        <w:pStyle w:val="CommentText"/>
      </w:pPr>
      <w:r>
        <w:rPr>
          <w:rStyle w:val="CommentReference"/>
        </w:rPr>
        <w:annotationRef/>
      </w:r>
      <w:r w:rsidR="00A20521" w:rsidRPr="00A20521">
        <w:t>This methodology introduces four different sampling frequencies (1 Hz, 2 Hz, 4 Hz, and 10 Hz) for data analysis, but the reasons for selecting these specific frequencies are not provided.</w:t>
      </w:r>
    </w:p>
  </w:comment>
  <w:comment w:id="19" w:author="ASUS" w:date="2023-08-16T23:02:00Z" w:initials="A">
    <w:p w14:paraId="7DD14DA1" w14:textId="5616F7A2" w:rsidR="0092347E" w:rsidRDefault="0092347E">
      <w:pPr>
        <w:pStyle w:val="CommentText"/>
      </w:pPr>
      <w:r>
        <w:rPr>
          <w:rStyle w:val="CommentReference"/>
        </w:rPr>
        <w:annotationRef/>
      </w:r>
      <w:r w:rsidR="00A20521" w:rsidRPr="00A20521">
        <w:t>Expand the discussion with reference to other relevant studies that have explored the impact of sampling frequency on tactical positioning variables in different sports. This will strengthen the validity and generalizability of the findings.</w:t>
      </w:r>
    </w:p>
  </w:comment>
  <w:comment w:id="20" w:author="ASUS" w:date="2023-08-16T23:01:00Z" w:initials="A">
    <w:p w14:paraId="11104563" w14:textId="7E5BE036" w:rsidR="0092347E" w:rsidRDefault="0092347E">
      <w:pPr>
        <w:pStyle w:val="CommentText"/>
      </w:pPr>
      <w:r>
        <w:rPr>
          <w:rStyle w:val="CommentReference"/>
        </w:rPr>
        <w:annotationRef/>
      </w:r>
      <w:r w:rsidR="00A20521" w:rsidRPr="00A20521">
        <w:t>Provide a more comprehensive analysis of why trivial differences in TA values are observed at different sampling frequencies. Consider factors such as the nature of the TA, the athlete's movement patterns, and the potential influence of other variables.</w:t>
      </w:r>
    </w:p>
  </w:comment>
  <w:comment w:id="24" w:author="ASUS" w:date="2023-08-16T23:11:00Z" w:initials="A">
    <w:p w14:paraId="6938E9CB" w14:textId="1BAA9282" w:rsidR="00E6459A" w:rsidRDefault="00E6459A">
      <w:pPr>
        <w:pStyle w:val="CommentText"/>
      </w:pPr>
      <w:r>
        <w:rPr>
          <w:rStyle w:val="CommentReference"/>
        </w:rPr>
        <w:annotationRef/>
      </w:r>
      <w:r w:rsidR="00A20521" w:rsidRPr="00A20521">
        <w:t>Provide suggestions for future research directions that can build on current findings. These include investigating the impact of sampling frequency on tactical variables in different team sports, analyzing the effects of different variables (</w:t>
      </w:r>
      <w:proofErr w:type="spellStart"/>
      <w:r w:rsidR="00A20521" w:rsidRPr="00A20521">
        <w:t>eg</w:t>
      </w:r>
      <w:proofErr w:type="spellEnd"/>
      <w:r w:rsidR="00A20521" w:rsidRPr="00A20521">
        <w:t>, player density), or exploring the practical applications of variable-specific sampling frequency.</w:t>
      </w:r>
    </w:p>
  </w:comment>
  <w:comment w:id="25" w:author="ASUS" w:date="2023-08-16T23:12:00Z" w:initials="A">
    <w:p w14:paraId="203D953A" w14:textId="082764EA" w:rsidR="00E6459A" w:rsidRPr="00E6459A" w:rsidRDefault="00E6459A" w:rsidP="00E6459A">
      <w:pPr>
        <w:pStyle w:val="CommentText"/>
        <w:suppressAutoHyphens w:val="0"/>
        <w:spacing w:after="200"/>
        <w:rPr>
          <w:rFonts w:asciiTheme="majorBidi" w:hAnsiTheme="majorBidi" w:cstheme="majorBidi"/>
          <w:lang w:eastAsia="en-US"/>
        </w:rPr>
      </w:pPr>
      <w:r>
        <w:rPr>
          <w:rStyle w:val="CommentReference"/>
        </w:rPr>
        <w:annotationRef/>
      </w:r>
      <w:r w:rsidR="00A20521" w:rsidRPr="00A20521">
        <w:rPr>
          <w:rFonts w:asciiTheme="majorBidi" w:hAnsiTheme="majorBidi" w:cstheme="majorBidi"/>
          <w:lang w:eastAsia="en-US"/>
        </w:rPr>
        <w:t>There are still some references that are too old. Use references with the latest 10 years.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F2E60C" w15:done="0"/>
  <w15:commentEx w15:paraId="7F21DA8A" w15:done="0"/>
  <w15:commentEx w15:paraId="3730F3DF" w15:done="0"/>
  <w15:commentEx w15:paraId="507F622B" w15:done="0"/>
  <w15:commentEx w15:paraId="261115A4" w15:done="0"/>
  <w15:commentEx w15:paraId="1D8F7AB5" w15:done="0"/>
  <w15:commentEx w15:paraId="04ABB204" w15:done="0"/>
  <w15:commentEx w15:paraId="10F0DAA3" w15:done="0"/>
  <w15:commentEx w15:paraId="43876988" w15:done="0"/>
  <w15:commentEx w15:paraId="0A355288" w15:done="0"/>
  <w15:commentEx w15:paraId="0D1FABAD" w15:done="0"/>
  <w15:commentEx w15:paraId="55C3CF94" w15:done="0"/>
  <w15:commentEx w15:paraId="7DD14DA1" w15:done="0"/>
  <w15:commentEx w15:paraId="11104563" w15:done="0"/>
  <w15:commentEx w15:paraId="6938E9CB" w15:done="0"/>
  <w15:commentEx w15:paraId="203D95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7C6C1" w16cex:dateUtc="2023-08-16T15:05:00Z"/>
  <w16cex:commentExtensible w16cex:durableId="2887C707" w16cex:dateUtc="2023-08-16T15:07:00Z"/>
  <w16cex:commentExtensible w16cex:durableId="2887C90A" w16cex:dateUtc="2023-08-16T15:15:00Z"/>
  <w16cex:commentExtensible w16cex:durableId="2887C7AC" w16cex:dateUtc="2023-08-16T15:09:00Z"/>
  <w16cex:commentExtensible w16cex:durableId="2887CC1B" w16cex:dateUtc="2023-08-16T15:28:00Z"/>
  <w16cex:commentExtensible w16cex:durableId="2887CD59" w16cex:dateUtc="2023-08-16T15:34:00Z"/>
  <w16cex:commentExtensible w16cex:durableId="2887CF89" w16cex:dateUtc="2023-08-16T15:43:00Z"/>
  <w16cex:commentExtensible w16cex:durableId="2887D003" w16cex:dateUtc="2023-08-16T15:45:00Z"/>
  <w16cex:commentExtensible w16cex:durableId="2887CF29" w16cex:dateUtc="2023-08-16T15:41:00Z"/>
  <w16cex:commentExtensible w16cex:durableId="2887D2A6" w16cex:dateUtc="2023-08-16T15:56:00Z"/>
  <w16cex:commentExtensible w16cex:durableId="2887D0AA" w16cex:dateUtc="2023-08-16T15:48:00Z"/>
  <w16cex:commentExtensible w16cex:durableId="2887D1AF" w16cex:dateUtc="2023-08-16T15:52:00Z"/>
  <w16cex:commentExtensible w16cex:durableId="2887D40D" w16cex:dateUtc="2023-08-16T16:02:00Z"/>
  <w16cex:commentExtensible w16cex:durableId="2887D3C8" w16cex:dateUtc="2023-08-16T16:01:00Z"/>
  <w16cex:commentExtensible w16cex:durableId="2887D638" w16cex:dateUtc="2023-08-16T16:11:00Z"/>
  <w16cex:commentExtensible w16cex:durableId="2887D665" w16cex:dateUtc="2023-08-16T1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F2E60C" w16cid:durableId="2887C6C1"/>
  <w16cid:commentId w16cid:paraId="7F21DA8A" w16cid:durableId="2887C707"/>
  <w16cid:commentId w16cid:paraId="3730F3DF" w16cid:durableId="2887C90A"/>
  <w16cid:commentId w16cid:paraId="507F622B" w16cid:durableId="2887C7AC"/>
  <w16cid:commentId w16cid:paraId="261115A4" w16cid:durableId="2887CC1B"/>
  <w16cid:commentId w16cid:paraId="1D8F7AB5" w16cid:durableId="2887CD59"/>
  <w16cid:commentId w16cid:paraId="04ABB204" w16cid:durableId="2887CF89"/>
  <w16cid:commentId w16cid:paraId="10F0DAA3" w16cid:durableId="2887D003"/>
  <w16cid:commentId w16cid:paraId="43876988" w16cid:durableId="2887CF29"/>
  <w16cid:commentId w16cid:paraId="0A355288" w16cid:durableId="2887D2A6"/>
  <w16cid:commentId w16cid:paraId="0D1FABAD" w16cid:durableId="2887D0AA"/>
  <w16cid:commentId w16cid:paraId="55C3CF94" w16cid:durableId="2887D1AF"/>
  <w16cid:commentId w16cid:paraId="7DD14DA1" w16cid:durableId="2887D40D"/>
  <w16cid:commentId w16cid:paraId="11104563" w16cid:durableId="2887D3C8"/>
  <w16cid:commentId w16cid:paraId="6938E9CB" w16cid:durableId="2887D638"/>
  <w16cid:commentId w16cid:paraId="203D953A" w16cid:durableId="2887D6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5307D" w14:textId="77777777" w:rsidR="009F52AA" w:rsidRDefault="009F52AA">
      <w:r>
        <w:separator/>
      </w:r>
    </w:p>
  </w:endnote>
  <w:endnote w:type="continuationSeparator" w:id="0">
    <w:p w14:paraId="1DCA9F8B" w14:textId="77777777" w:rsidR="009F52AA" w:rsidRDefault="009F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AMECN+TimesNewRoman">
    <w:charset w:val="00"/>
    <w:family w:val="roman"/>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emonas">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1FFB2" w14:textId="77777777" w:rsidR="00A4168E" w:rsidRDefault="00A4168E">
    <w:pPr>
      <w:pBdr>
        <w:top w:val="single" w:sz="4" w:space="1" w:color="D9D9D9"/>
        <w:left w:val="nil"/>
        <w:bottom w:val="nil"/>
        <w:right w:val="nil"/>
        <w:between w:val="nil"/>
      </w:pBdr>
      <w:tabs>
        <w:tab w:val="center" w:pos="4680"/>
        <w:tab w:val="right" w:pos="9360"/>
      </w:tabs>
      <w:rPr>
        <w:rFonts w:ascii="Cambria" w:eastAsia="Cambria" w:hAnsi="Cambria" w:cs="Cambria"/>
        <w:b/>
        <w:color w:val="000000"/>
      </w:rPr>
    </w:pP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E625F1">
      <w:rPr>
        <w:rFonts w:ascii="Cambria" w:eastAsia="Cambria" w:hAnsi="Cambria" w:cs="Cambria"/>
        <w:noProof/>
        <w:color w:val="000000"/>
        <w:sz w:val="20"/>
        <w:szCs w:val="20"/>
      </w:rPr>
      <w:t>2</w:t>
    </w:r>
    <w:r>
      <w:rPr>
        <w:rFonts w:ascii="Cambria" w:eastAsia="Cambria" w:hAnsi="Cambria" w:cs="Cambria"/>
        <w:color w:val="000000"/>
        <w:sz w:val="20"/>
        <w:szCs w:val="20"/>
      </w:rPr>
      <w:fldChar w:fldCharType="end"/>
    </w:r>
    <w:r>
      <w:rPr>
        <w:rFonts w:ascii="Cambria" w:eastAsia="Cambria" w:hAnsi="Cambria" w:cs="Cambria"/>
        <w:b/>
        <w:color w:val="000000"/>
        <w:sz w:val="20"/>
        <w:szCs w:val="20"/>
      </w:rPr>
      <w:t xml:space="preserve"> | </w:t>
    </w:r>
    <w:r>
      <w:rPr>
        <w:rFonts w:ascii="Cambria" w:eastAsia="Cambria" w:hAnsi="Cambria" w:cs="Cambria"/>
        <w:color w:val="000000"/>
        <w:sz w:val="20"/>
        <w:szCs w:val="20"/>
      </w:rPr>
      <w:t>Journal of Coaching and Sports Science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8C0E" w14:textId="77777777" w:rsidR="00A4168E" w:rsidRDefault="00A4168E">
    <w:pPr>
      <w:pBdr>
        <w:top w:val="single" w:sz="4" w:space="1" w:color="D9D9D9"/>
        <w:left w:val="nil"/>
        <w:bottom w:val="nil"/>
        <w:right w:val="nil"/>
        <w:between w:val="nil"/>
      </w:pBdr>
      <w:tabs>
        <w:tab w:val="center" w:pos="4680"/>
        <w:tab w:val="right" w:pos="9360"/>
        <w:tab w:val="center" w:pos="4230"/>
        <w:tab w:val="right" w:pos="9353"/>
      </w:tabs>
      <w:rPr>
        <w:rFonts w:ascii="Cambria" w:eastAsia="Cambria" w:hAnsi="Cambria" w:cs="Cambria"/>
        <w:b/>
        <w:color w:val="000000"/>
      </w:rPr>
    </w:pPr>
    <w:r>
      <w:rPr>
        <w:color w:val="000000"/>
        <w:sz w:val="20"/>
        <w:szCs w:val="20"/>
      </w:rPr>
      <w:tab/>
    </w:r>
    <w:r>
      <w:rPr>
        <w:color w:val="000000"/>
        <w:sz w:val="20"/>
        <w:szCs w:val="20"/>
      </w:rPr>
      <w:tab/>
    </w:r>
    <w:r>
      <w:rPr>
        <w:rFonts w:ascii="Cambria" w:eastAsia="Cambria" w:hAnsi="Cambria" w:cs="Cambria"/>
        <w:color w:val="000000"/>
        <w:sz w:val="20"/>
        <w:szCs w:val="20"/>
      </w:rPr>
      <w:t>Journal of Coaching and Sports Science</w:t>
    </w:r>
    <w:r>
      <w:rPr>
        <w:rFonts w:ascii="Cambria" w:eastAsia="Cambria" w:hAnsi="Cambria" w:cs="Cambria"/>
        <w:b/>
        <w:color w:val="000000"/>
        <w:sz w:val="20"/>
        <w:szCs w:val="20"/>
      </w:rPr>
      <w:t xml:space="preserve"> | </w:t>
    </w:r>
    <w:r>
      <w:rPr>
        <w:rFonts w:ascii="Cambria" w:eastAsia="Cambria" w:hAnsi="Cambria" w:cs="Cambria"/>
        <w:b/>
        <w:color w:val="000000"/>
        <w:sz w:val="20"/>
        <w:szCs w:val="20"/>
      </w:rPr>
      <w:fldChar w:fldCharType="begin"/>
    </w:r>
    <w:r>
      <w:rPr>
        <w:rFonts w:ascii="Cambria" w:eastAsia="Cambria" w:hAnsi="Cambria" w:cs="Cambria"/>
        <w:b/>
        <w:color w:val="000000"/>
        <w:sz w:val="20"/>
        <w:szCs w:val="20"/>
      </w:rPr>
      <w:instrText>PAGE</w:instrText>
    </w:r>
    <w:r>
      <w:rPr>
        <w:rFonts w:ascii="Cambria" w:eastAsia="Cambria" w:hAnsi="Cambria" w:cs="Cambria"/>
        <w:b/>
        <w:color w:val="000000"/>
        <w:sz w:val="20"/>
        <w:szCs w:val="20"/>
      </w:rPr>
      <w:fldChar w:fldCharType="separate"/>
    </w:r>
    <w:r w:rsidR="00E625F1">
      <w:rPr>
        <w:rFonts w:ascii="Cambria" w:eastAsia="Cambria" w:hAnsi="Cambria" w:cs="Cambria"/>
        <w:b/>
        <w:noProof/>
        <w:color w:val="000000"/>
        <w:sz w:val="20"/>
        <w:szCs w:val="20"/>
      </w:rPr>
      <w:t>7</w:t>
    </w:r>
    <w:r>
      <w:rPr>
        <w:rFonts w:ascii="Cambria" w:eastAsia="Cambria" w:hAnsi="Cambria" w:cs="Cambria"/>
        <w:b/>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65BF" w14:textId="77777777" w:rsidR="00A4168E" w:rsidRDefault="00A4168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1A873" w14:textId="77777777" w:rsidR="009F52AA" w:rsidRDefault="009F52AA">
      <w:r>
        <w:separator/>
      </w:r>
    </w:p>
  </w:footnote>
  <w:footnote w:type="continuationSeparator" w:id="0">
    <w:p w14:paraId="40AF7204" w14:textId="77777777" w:rsidR="009F52AA" w:rsidRDefault="009F5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3BBF" w14:textId="77777777" w:rsidR="00A4168E" w:rsidRDefault="00A4168E">
    <w:pPr>
      <w:pBdr>
        <w:top w:val="nil"/>
        <w:left w:val="nil"/>
        <w:bottom w:val="nil"/>
        <w:right w:val="nil"/>
        <w:between w:val="nil"/>
      </w:pBdr>
      <w:jc w:val="center"/>
      <w:rPr>
        <w:rFonts w:ascii="Cambria" w:eastAsia="Cambria" w:hAnsi="Cambria" w:cs="Cambria"/>
        <w:b/>
        <w:color w:val="000000"/>
        <w:sz w:val="20"/>
        <w:szCs w:val="20"/>
      </w:rPr>
    </w:pPr>
    <w:r>
      <w:rPr>
        <w:rFonts w:ascii="Cambria" w:eastAsia="Cambria" w:hAnsi="Cambria" w:cs="Cambria"/>
        <w:b/>
        <w:color w:val="000000"/>
        <w:sz w:val="20"/>
        <w:szCs w:val="20"/>
      </w:rPr>
      <w:t>Journal of Coaching and Sports Science</w:t>
    </w:r>
  </w:p>
  <w:p w14:paraId="6B3A0538" w14:textId="77777777" w:rsidR="00A4168E" w:rsidRDefault="00A4168E">
    <w:pPr>
      <w:pBdr>
        <w:top w:val="nil"/>
        <w:left w:val="nil"/>
        <w:bottom w:val="nil"/>
        <w:right w:val="nil"/>
        <w:between w:val="nil"/>
      </w:pBdr>
      <w:tabs>
        <w:tab w:val="center" w:pos="4680"/>
        <w:tab w:val="right" w:pos="9360"/>
        <w:tab w:val="center" w:pos="4395"/>
        <w:tab w:val="right" w:pos="8505"/>
      </w:tabs>
      <w:rPr>
        <w:rFonts w:ascii="Cambria" w:eastAsia="Cambria" w:hAnsi="Cambria" w:cs="Cambria"/>
        <w:color w:val="000000"/>
        <w:sz w:val="20"/>
        <w:szCs w:val="20"/>
      </w:rPr>
    </w:pPr>
    <w:r>
      <w:rPr>
        <w:rFonts w:ascii="Cambria" w:eastAsia="Cambria" w:hAnsi="Cambria" w:cs="Cambria"/>
        <w:color w:val="000000"/>
        <w:sz w:val="20"/>
        <w:szCs w:val="20"/>
      </w:rPr>
      <w:t>Author</w:t>
    </w:r>
    <w:r>
      <w:rPr>
        <w:color w:val="000000"/>
        <w:sz w:val="20"/>
        <w:szCs w:val="20"/>
      </w:rPr>
      <w:tab/>
      <w:t>│</w:t>
    </w:r>
    <w:r>
      <w:rPr>
        <w:color w:val="000000"/>
        <w:sz w:val="20"/>
        <w:szCs w:val="20"/>
      </w:rPr>
      <w:tab/>
    </w:r>
    <w:r>
      <w:rPr>
        <w:rFonts w:ascii="Cambria" w:eastAsia="Cambria" w:hAnsi="Cambria" w:cs="Cambria"/>
        <w:color w:val="000000"/>
        <w:sz w:val="20"/>
        <w:szCs w:val="20"/>
      </w:rPr>
      <w:t>Title</w:t>
    </w:r>
    <w:r>
      <w:rPr>
        <w:noProof/>
        <w:lang w:val="es-ES" w:eastAsia="es-ES"/>
      </w:rPr>
      <mc:AlternateContent>
        <mc:Choice Requires="wpg">
          <w:drawing>
            <wp:anchor distT="0" distB="0" distL="114300" distR="114300" simplePos="0" relativeHeight="251661312" behindDoc="0" locked="0" layoutInCell="1" hidden="0" allowOverlap="1" wp14:anchorId="65376830" wp14:editId="19A4E543">
              <wp:simplePos x="0" y="0"/>
              <wp:positionH relativeFrom="column">
                <wp:posOffset>-25399</wp:posOffset>
              </wp:positionH>
              <wp:positionV relativeFrom="paragraph">
                <wp:posOffset>0</wp:posOffset>
              </wp:positionV>
              <wp:extent cx="5949525" cy="22225"/>
              <wp:effectExtent l="0" t="0" r="0" b="0"/>
              <wp:wrapNone/>
              <wp:docPr id="52" name="Conector recto de flecha 52"/>
              <wp:cNvGraphicFramePr/>
              <a:graphic xmlns:a="http://schemas.openxmlformats.org/drawingml/2006/main">
                <a:graphicData uri="http://schemas.microsoft.com/office/word/2010/wordprocessingShape">
                  <wps:wsp>
                    <wps:cNvCnPr/>
                    <wps:spPr>
                      <a:xfrm>
                        <a:off x="2376000" y="3780000"/>
                        <a:ext cx="5940000" cy="0"/>
                      </a:xfrm>
                      <a:prstGeom prst="straightConnector1">
                        <a:avLst/>
                      </a:prstGeom>
                      <a:noFill/>
                      <a:ln w="9525" cap="flat" cmpd="sng">
                        <a:solidFill>
                          <a:srgbClr val="000000"/>
                        </a:solidFill>
                        <a:prstDash val="solid"/>
                        <a:round/>
                        <a:headEnd type="none" w="sm" len="sm"/>
                        <a:tailEnd type="none" w="sm" len="sm"/>
                      </a:ln>
                      <a:effectLst>
                        <a:outerShdw dist="35921" dir="2700000" algn="ctr" rotWithShape="0">
                          <a:srgbClr val="808080"/>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-25399</wp:posOffset>
              </wp:positionH>
              <wp:positionV relativeFrom="paragraph">
                <wp:posOffset>0</wp:posOffset>
              </wp:positionV>
              <wp:extent cx="5949525" cy="22225"/>
              <wp:effectExtent b="0" l="0" r="0" t="0"/>
              <wp:wrapNone/>
              <wp:docPr id="5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949525" cy="2222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6C82C" w14:textId="77777777" w:rsidR="00A4168E" w:rsidRDefault="00A4168E">
    <w:pPr>
      <w:pBdr>
        <w:top w:val="nil"/>
        <w:left w:val="nil"/>
        <w:bottom w:val="nil"/>
        <w:right w:val="nil"/>
        <w:between w:val="nil"/>
      </w:pBdr>
      <w:jc w:val="center"/>
      <w:rPr>
        <w:b/>
        <w:color w:val="000000"/>
        <w:sz w:val="18"/>
        <w:szCs w:val="18"/>
      </w:rPr>
    </w:pPr>
    <w:r>
      <w:rPr>
        <w:b/>
        <w:color w:val="000000"/>
        <w:sz w:val="18"/>
        <w:szCs w:val="18"/>
      </w:rPr>
      <w:t xml:space="preserve"> Journal of Coaching and Sports Science</w:t>
    </w:r>
    <w:r>
      <w:rPr>
        <w:noProof/>
        <w:lang w:val="es-ES" w:eastAsia="es-ES"/>
      </w:rPr>
      <mc:AlternateContent>
        <mc:Choice Requires="wpg">
          <w:drawing>
            <wp:anchor distT="0" distB="0" distL="114300" distR="114300" simplePos="0" relativeHeight="251658240" behindDoc="0" locked="0" layoutInCell="1" hidden="0" allowOverlap="1" wp14:anchorId="65FBFD6D" wp14:editId="0F362062">
              <wp:simplePos x="0" y="0"/>
              <wp:positionH relativeFrom="column">
                <wp:posOffset>-12699</wp:posOffset>
              </wp:positionH>
              <wp:positionV relativeFrom="paragraph">
                <wp:posOffset>101600</wp:posOffset>
              </wp:positionV>
              <wp:extent cx="5953125" cy="22225"/>
              <wp:effectExtent l="0" t="0" r="0" b="0"/>
              <wp:wrapNone/>
              <wp:docPr id="54" name="Conector recto de flecha 54"/>
              <wp:cNvGraphicFramePr/>
              <a:graphic xmlns:a="http://schemas.openxmlformats.org/drawingml/2006/main">
                <a:graphicData uri="http://schemas.microsoft.com/office/word/2010/wordprocessingShape">
                  <wps:wsp>
                    <wps:cNvCnPr/>
                    <wps:spPr>
                      <a:xfrm>
                        <a:off x="2374200" y="3780000"/>
                        <a:ext cx="5943600" cy="0"/>
                      </a:xfrm>
                      <a:prstGeom prst="straightConnector1">
                        <a:avLst/>
                      </a:prstGeom>
                      <a:noFill/>
                      <a:ln w="9525" cap="flat" cmpd="sng">
                        <a:solidFill>
                          <a:srgbClr val="000000"/>
                        </a:solidFill>
                        <a:prstDash val="solid"/>
                        <a:round/>
                        <a:headEnd type="none" w="sm" len="sm"/>
                        <a:tailEnd type="none" w="sm" len="sm"/>
                      </a:ln>
                      <a:effectLst>
                        <a:outerShdw dist="35921" dir="2700000" algn="ctr" rotWithShape="0">
                          <a:srgbClr val="808080"/>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-12699</wp:posOffset>
              </wp:positionH>
              <wp:positionV relativeFrom="paragraph">
                <wp:posOffset>101600</wp:posOffset>
              </wp:positionV>
              <wp:extent cx="5953125" cy="22225"/>
              <wp:effectExtent b="0" l="0" r="0" t="0"/>
              <wp:wrapNone/>
              <wp:docPr id="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53125" cy="22225"/>
                      </a:xfrm>
                      <a:prstGeom prst="rect"/>
                      <a:ln/>
                    </pic:spPr>
                  </pic:pic>
                </a:graphicData>
              </a:graphic>
            </wp:anchor>
          </w:drawing>
        </mc:Fallback>
      </mc:AlternateContent>
    </w:r>
  </w:p>
  <w:p w14:paraId="47EA3313" w14:textId="77777777" w:rsidR="00A4168E" w:rsidRDefault="00A4168E">
    <w:pPr>
      <w:pBdr>
        <w:top w:val="nil"/>
        <w:left w:val="nil"/>
        <w:bottom w:val="nil"/>
        <w:right w:val="nil"/>
        <w:between w:val="nil"/>
      </w:pBdr>
      <w:tabs>
        <w:tab w:val="center" w:pos="4680"/>
        <w:tab w:val="right" w:pos="9360"/>
        <w:tab w:val="center" w:pos="4395"/>
        <w:tab w:val="right" w:pos="8505"/>
      </w:tabs>
      <w:rPr>
        <w:color w:val="000000"/>
        <w:sz w:val="20"/>
        <w:szCs w:val="20"/>
      </w:rPr>
    </w:pPr>
    <w:r>
      <w:rPr>
        <w:color w:val="000000"/>
        <w:sz w:val="20"/>
        <w:szCs w:val="20"/>
      </w:rPr>
      <w:t>Author</w:t>
    </w:r>
    <w:r>
      <w:rPr>
        <w:color w:val="000000"/>
        <w:sz w:val="20"/>
        <w:szCs w:val="20"/>
      </w:rPr>
      <w:tab/>
      <w:t>│</w:t>
    </w:r>
    <w:r>
      <w:rPr>
        <w:color w:val="000000"/>
        <w:sz w:val="20"/>
        <w:szCs w:val="20"/>
      </w:rPr>
      <w:tab/>
      <w:t>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39250" w14:textId="77777777" w:rsidR="00A4168E" w:rsidRDefault="00A4168E">
    <w:pPr>
      <w:spacing w:line="140" w:lineRule="auto"/>
    </w:pPr>
    <w:r>
      <w:rPr>
        <w:noProof/>
        <w:lang w:val="es-ES" w:eastAsia="es-ES"/>
      </w:rPr>
      <mc:AlternateContent>
        <mc:Choice Requires="wpg">
          <w:drawing>
            <wp:anchor distT="0" distB="0" distL="0" distR="0" simplePos="0" relativeHeight="251659264" behindDoc="1" locked="0" layoutInCell="1" hidden="0" allowOverlap="1" wp14:anchorId="2A8504A7" wp14:editId="4C104539">
              <wp:simplePos x="0" y="0"/>
              <wp:positionH relativeFrom="page">
                <wp:posOffset>771525</wp:posOffset>
              </wp:positionH>
              <wp:positionV relativeFrom="page">
                <wp:posOffset>333375</wp:posOffset>
              </wp:positionV>
              <wp:extent cx="6048375" cy="1094105"/>
              <wp:effectExtent l="0" t="0" r="0" b="0"/>
              <wp:wrapNone/>
              <wp:docPr id="53" name="Grupo 53"/>
              <wp:cNvGraphicFramePr/>
              <a:graphic xmlns:a="http://schemas.openxmlformats.org/drawingml/2006/main">
                <a:graphicData uri="http://schemas.microsoft.com/office/word/2010/wordprocessingGroup">
                  <wpg:wgp>
                    <wpg:cNvGrpSpPr/>
                    <wpg:grpSpPr>
                      <a:xfrm>
                        <a:off x="0" y="0"/>
                        <a:ext cx="6048375" cy="1094105"/>
                        <a:chOff x="2319950" y="3232925"/>
                        <a:chExt cx="6055025" cy="1096350"/>
                      </a:xfrm>
                    </wpg:grpSpPr>
                    <wpg:grpSp>
                      <wpg:cNvPr id="1" name="Grupo 1"/>
                      <wpg:cNvGrpSpPr/>
                      <wpg:grpSpPr>
                        <a:xfrm>
                          <a:off x="2321813" y="3232948"/>
                          <a:ext cx="6048375" cy="1094105"/>
                          <a:chOff x="2321813" y="3232948"/>
                          <a:chExt cx="6044873" cy="1090930"/>
                        </a:xfrm>
                      </wpg:grpSpPr>
                      <wps:wsp>
                        <wps:cNvPr id="2" name="Rectángulo 2"/>
                        <wps:cNvSpPr/>
                        <wps:spPr>
                          <a:xfrm>
                            <a:off x="2321813" y="3232948"/>
                            <a:ext cx="6044850" cy="1090925"/>
                          </a:xfrm>
                          <a:prstGeom prst="rect">
                            <a:avLst/>
                          </a:prstGeom>
                          <a:noFill/>
                          <a:ln>
                            <a:noFill/>
                          </a:ln>
                        </wps:spPr>
                        <wps:txbx>
                          <w:txbxContent>
                            <w:p w14:paraId="32DA88C7" w14:textId="77777777" w:rsidR="00A4168E" w:rsidRDefault="00A4168E">
                              <w:pPr>
                                <w:textDirection w:val="btLr"/>
                              </w:pPr>
                            </w:p>
                          </w:txbxContent>
                        </wps:txbx>
                        <wps:bodyPr spcFirstLastPara="1" wrap="square" lIns="91425" tIns="91425" rIns="91425" bIns="91425" anchor="ctr" anchorCtr="0">
                          <a:noAutofit/>
                        </wps:bodyPr>
                      </wps:wsp>
                      <wpg:grpSp>
                        <wpg:cNvPr id="3" name="Grupo 3"/>
                        <wpg:cNvGrpSpPr/>
                        <wpg:grpSpPr>
                          <a:xfrm>
                            <a:off x="2321813" y="3232948"/>
                            <a:ext cx="6044873" cy="1090930"/>
                            <a:chOff x="848" y="1103"/>
                            <a:chExt cx="10356" cy="1718"/>
                          </a:xfrm>
                        </wpg:grpSpPr>
                        <wps:wsp>
                          <wps:cNvPr id="4" name="Rectángulo 4"/>
                          <wps:cNvSpPr/>
                          <wps:spPr>
                            <a:xfrm>
                              <a:off x="848" y="1103"/>
                              <a:ext cx="10350" cy="1700"/>
                            </a:xfrm>
                            <a:prstGeom prst="rect">
                              <a:avLst/>
                            </a:prstGeom>
                            <a:noFill/>
                            <a:ln>
                              <a:noFill/>
                            </a:ln>
                          </wps:spPr>
                          <wps:txbx>
                            <w:txbxContent>
                              <w:p w14:paraId="07685872" w14:textId="77777777" w:rsidR="00A4168E" w:rsidRDefault="00A4168E">
                                <w:pPr>
                                  <w:textDirection w:val="btLr"/>
                                </w:pPr>
                              </w:p>
                            </w:txbxContent>
                          </wps:txbx>
                          <wps:bodyPr spcFirstLastPara="1" wrap="square" lIns="91425" tIns="91425" rIns="91425" bIns="91425" anchor="ctr" anchorCtr="0">
                            <a:noAutofit/>
                          </wps:bodyPr>
                        </wps:wsp>
                        <wps:wsp>
                          <wps:cNvPr id="5" name="Forma libre 5"/>
                          <wps:cNvSpPr/>
                          <wps:spPr>
                            <a:xfrm>
                              <a:off x="857" y="1112"/>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6" name="Forma libre 6"/>
                          <wps:cNvSpPr/>
                          <wps:spPr>
                            <a:xfrm>
                              <a:off x="2841" y="1112"/>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7" name="Forma libre 7"/>
                          <wps:cNvSpPr/>
                          <wps:spPr>
                            <a:xfrm>
                              <a:off x="853"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8" name="Forma libre 8"/>
                          <wps:cNvSpPr/>
                          <wps:spPr>
                            <a:xfrm>
                              <a:off x="857" y="2817"/>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9" name="Forma libre 9"/>
                          <wps:cNvSpPr/>
                          <wps:spPr>
                            <a:xfrm>
                              <a:off x="2837"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10" name="Forma libre 10"/>
                          <wps:cNvSpPr/>
                          <wps:spPr>
                            <a:xfrm>
                              <a:off x="2841" y="2817"/>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s:wsp>
                          <wps:cNvPr id="11" name="Forma libre 11"/>
                          <wps:cNvSpPr/>
                          <wps:spPr>
                            <a:xfrm>
                              <a:off x="11204"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A8504A7" id="Grupo 53" o:spid="_x0000_s1026" style="position:absolute;margin-left:60.75pt;margin-top:26.25pt;width:476.25pt;height:86.15pt;z-index:-251657216;mso-wrap-distance-left:0;mso-wrap-distance-right:0;mso-position-horizontal-relative:page;mso-position-vertical-relative:page" coordorigin="23199,32329" coordsize="60550,10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">
              <v:group id="Grupo 1" o:spid="_x0000_s1027" style="position:absolute;left:23218;top:32329;width:60483;height:10941" coordorigin="23218,32329" coordsize="60448,10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23218;top:32329;width:60448;height:10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2DA88C7" w14:textId="77777777" w:rsidR="00A4168E" w:rsidRDefault="00A4168E">
                        <w:pPr>
                          <w:textDirection w:val="btLr"/>
                        </w:pPr>
                      </w:p>
                    </w:txbxContent>
                  </v:textbox>
                </v:rect>
                <v:group id="Grupo 3" o:spid="_x0000_s1029" style="position:absolute;left:23218;top:32329;width:60448;height:10909" coordorigin="848,1103" coordsize="10356,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0" style="position:absolute;left:848;top:1103;width:10350;height: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07685872" w14:textId="77777777" w:rsidR="00A4168E" w:rsidRDefault="00A4168E">
                          <w:pPr>
                            <w:textDirection w:val="btLr"/>
                          </w:pPr>
                        </w:p>
                      </w:txbxContent>
                    </v:textbox>
                  </v:rect>
                  <v:shape id="Forma libre 5" o:spid="_x0000_s1031" style="position:absolute;left:857;top:1112;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" path="m,l1976,e" filled="f" strokecolor="#d9d9d9">
                    <v:stroke startarrowwidth="narrow" startarrowlength="short" endarrowwidth="narrow" endarrowlength="short"/>
                    <v:path arrowok="t" o:extrusionok="f"/>
                  </v:shape>
                  <v:shape id="Forma libre 6" o:spid="_x0000_s1032" style="position:absolute;left:2841;top:1112;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" path="m,l8359,e" filled="f" strokecolor="#d9d9d9">
                    <v:stroke startarrowwidth="narrow" startarrowlength="short" endarrowwidth="narrow" endarrowlength="short"/>
                    <v:path arrowok="t" o:extrusionok="f"/>
                  </v:shape>
                  <v:shape id="Forma libre 7" o:spid="_x0000_s1033" style="position:absolute;left:853;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" path="m,l,1713e" filled="f" strokecolor="#d9d9d9">
                    <v:stroke startarrowwidth="narrow" startarrowlength="short" endarrowwidth="narrow" endarrowlength="short"/>
                    <v:path arrowok="t" o:extrusionok="f"/>
                  </v:shape>
                  <v:shape id="Forma libre 8" o:spid="_x0000_s1034" style="position:absolute;left:857;top:2817;width:1977;height:0;visibility:visible;mso-wrap-style:square;v-text-anchor:middle"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" path="m,l1976,e" filled="f" strokecolor="#d9d9d9">
                    <v:stroke startarrowwidth="narrow" startarrowlength="short" endarrowwidth="narrow" endarrowlength="short"/>
                    <v:path arrowok="t" o:extrusionok="f"/>
                  </v:shape>
                  <v:shape id="Forma libre 9" o:spid="_x0000_s1035" style="position:absolute;left:2837;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" path="m,l,1713e" filled="f" strokecolor="#d9d9d9">
                    <v:stroke startarrowwidth="narrow" startarrowlength="short" endarrowwidth="narrow" endarrowlength="short"/>
                    <v:path arrowok="t" o:extrusionok="f"/>
                  </v:shape>
                  <v:shape id="Forma libre 10" o:spid="_x0000_s1036" style="position:absolute;left:2841;top:2817;width:8359;height:0;visibility:visible;mso-wrap-style:square;v-text-anchor:middle"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" path="m,l8359,e" filled="f" strokecolor="#d9d9d9">
                    <v:stroke startarrowwidth="narrow" startarrowlength="short" endarrowwidth="narrow" endarrowlength="short"/>
                    <v:path arrowok="t" o:extrusionok="f"/>
                  </v:shape>
                  <v:shape id="Forma libre 11" o:spid="_x0000_s1037" style="position:absolute;left:11204;top:1108;width:0;height:1713;visibility:visible;mso-wrap-style:square;v-text-anchor:middle"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" path="m,l,1713e" filled="f" strokecolor="#d9d9d9">
                    <v:stroke startarrowwidth="narrow" startarrowlength="short" endarrowwidth="narrow" endarrowlength="short"/>
                    <v:path arrowok="t" o:extrusionok="f"/>
                  </v:shape>
                </v:group>
              </v:group>
              <w10:wrap anchorx="page" anchory="page"/>
            </v:group>
          </w:pict>
        </mc:Fallback>
      </mc:AlternateContent>
    </w:r>
    <w:r>
      <w:rPr>
        <w:noProof/>
        <w:lang w:val="es-ES" w:eastAsia="es-ES"/>
      </w:rPr>
      <w:drawing>
        <wp:anchor distT="0" distB="0" distL="0" distR="0" simplePos="0" relativeHeight="251660288" behindDoc="1" locked="0" layoutInCell="1" hidden="0" allowOverlap="1" wp14:anchorId="273C6B48" wp14:editId="53EC7F3F">
          <wp:simplePos x="0" y="0"/>
          <wp:positionH relativeFrom="column">
            <wp:posOffset>-113088</wp:posOffset>
          </wp:positionH>
          <wp:positionV relativeFrom="paragraph">
            <wp:posOffset>8255</wp:posOffset>
          </wp:positionV>
          <wp:extent cx="1149350" cy="1029626"/>
          <wp:effectExtent l="0" t="0" r="0" b="0"/>
          <wp:wrapNone/>
          <wp:docPr id="5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149350" cy="1029626"/>
                  </a:xfrm>
                  <a:prstGeom prst="rect">
                    <a:avLst/>
                  </a:prstGeom>
                  <a:ln/>
                </pic:spPr>
              </pic:pic>
            </a:graphicData>
          </a:graphic>
        </wp:anchor>
      </w:drawing>
    </w:r>
  </w:p>
  <w:p w14:paraId="0F80BA8B" w14:textId="77777777" w:rsidR="00A4168E" w:rsidRDefault="00A4168E">
    <w:pPr>
      <w:spacing w:line="276" w:lineRule="auto"/>
      <w:ind w:left="1620" w:right="-203"/>
      <w:jc w:val="center"/>
      <w:rPr>
        <w:rFonts w:ascii="Cambria" w:eastAsia="Cambria" w:hAnsi="Cambria" w:cs="Cambria"/>
        <w:b/>
        <w:sz w:val="28"/>
        <w:szCs w:val="28"/>
      </w:rPr>
    </w:pPr>
    <w:r>
      <w:rPr>
        <w:rFonts w:ascii="Cambria" w:eastAsia="Cambria" w:hAnsi="Cambria" w:cs="Cambria"/>
        <w:b/>
        <w:sz w:val="28"/>
        <w:szCs w:val="28"/>
      </w:rPr>
      <w:t>Journal of Coaching and Sports Science</w:t>
    </w:r>
  </w:p>
  <w:p w14:paraId="588111CE" w14:textId="77777777" w:rsidR="00A4168E" w:rsidRDefault="00A4168E">
    <w:pPr>
      <w:spacing w:before="29"/>
      <w:ind w:left="4253" w:right="2407"/>
      <w:jc w:val="center"/>
      <w:rPr>
        <w:rFonts w:ascii="Cambria" w:eastAsia="Cambria" w:hAnsi="Cambria" w:cs="Cambria"/>
        <w:sz w:val="22"/>
        <w:szCs w:val="22"/>
      </w:rPr>
    </w:pPr>
    <w:r>
      <w:rPr>
        <w:rFonts w:ascii="Cambria" w:eastAsia="Cambria" w:hAnsi="Cambria" w:cs="Cambria"/>
        <w:b/>
        <w:sz w:val="22"/>
        <w:szCs w:val="22"/>
      </w:rPr>
      <w:t>Volume X, Issue X, xx-xx.</w:t>
    </w:r>
  </w:p>
  <w:p w14:paraId="6A94FC3A" w14:textId="77777777" w:rsidR="00A4168E" w:rsidRPr="00D243F3" w:rsidRDefault="00A4168E">
    <w:pPr>
      <w:spacing w:line="220" w:lineRule="auto"/>
      <w:ind w:left="4678" w:right="-2"/>
      <w:rPr>
        <w:rFonts w:ascii="Cambria" w:eastAsia="Cambria" w:hAnsi="Cambria" w:cs="Cambria"/>
        <w:sz w:val="20"/>
        <w:szCs w:val="20"/>
        <w:lang w:val="es-ES"/>
      </w:rPr>
    </w:pPr>
    <w:proofErr w:type="spellStart"/>
    <w:r w:rsidRPr="00D243F3">
      <w:rPr>
        <w:rFonts w:ascii="Cambria" w:eastAsia="Cambria" w:hAnsi="Cambria" w:cs="Cambria"/>
        <w:sz w:val="20"/>
        <w:szCs w:val="20"/>
        <w:lang w:val="es-ES"/>
      </w:rPr>
      <w:t>e_ISSN</w:t>
    </w:r>
    <w:proofErr w:type="spellEnd"/>
    <w:r w:rsidRPr="00D243F3">
      <w:rPr>
        <w:rFonts w:ascii="Cambria" w:eastAsia="Cambria" w:hAnsi="Cambria" w:cs="Cambria"/>
        <w:sz w:val="20"/>
        <w:szCs w:val="20"/>
        <w:lang w:val="es-ES"/>
      </w:rPr>
      <w:t>: 2963-1483</w:t>
    </w:r>
  </w:p>
  <w:p w14:paraId="709D2897" w14:textId="77777777" w:rsidR="00A4168E" w:rsidRPr="00D243F3" w:rsidRDefault="00000000">
    <w:pPr>
      <w:spacing w:line="220" w:lineRule="auto"/>
      <w:ind w:left="2880" w:right="-2" w:firstLine="96"/>
      <w:rPr>
        <w:rFonts w:ascii="Cambria" w:eastAsia="Cambria" w:hAnsi="Cambria" w:cs="Cambria"/>
        <w:sz w:val="20"/>
        <w:szCs w:val="20"/>
        <w:lang w:val="es-ES"/>
      </w:rPr>
    </w:pPr>
    <w:hyperlink r:id="rId2">
      <w:r w:rsidR="00A4168E" w:rsidRPr="00D243F3">
        <w:rPr>
          <w:rFonts w:ascii="Cambria" w:eastAsia="Cambria" w:hAnsi="Cambria" w:cs="Cambria"/>
          <w:color w:val="0000FF"/>
          <w:sz w:val="20"/>
          <w:szCs w:val="20"/>
          <w:u w:val="single"/>
          <w:lang w:val="es-ES"/>
        </w:rPr>
        <w:t>https://www.journal.foundae.com/index.php/jcss/index</w:t>
      </w:r>
    </w:hyperlink>
  </w:p>
  <w:p w14:paraId="582B1BCB" w14:textId="77777777" w:rsidR="00A4168E" w:rsidRPr="00D243F3" w:rsidRDefault="00A4168E">
    <w:pPr>
      <w:spacing w:line="220" w:lineRule="auto"/>
      <w:ind w:left="2880" w:right="-2" w:firstLine="521"/>
      <w:rPr>
        <w:rFonts w:ascii="Cambria" w:eastAsia="Cambria" w:hAnsi="Cambria" w:cs="Cambria"/>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4EF9"/>
    <w:multiLevelType w:val="hybridMultilevel"/>
    <w:tmpl w:val="29200B9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35DE50E4"/>
    <w:multiLevelType w:val="hybridMultilevel"/>
    <w:tmpl w:val="07E08722"/>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num w:numId="1" w16cid:durableId="1663317814">
    <w:abstractNumId w:val="1"/>
  </w:num>
  <w:num w:numId="2" w16cid:durableId="185795026">
    <w:abstractNumId w:val="1"/>
  </w:num>
  <w:num w:numId="3" w16cid:durableId="19435630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SUS">
    <w15:presenceInfo w15:providerId="None" w15:userId="AS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F0E"/>
    <w:rsid w:val="00873A87"/>
    <w:rsid w:val="0092347E"/>
    <w:rsid w:val="009C1AD8"/>
    <w:rsid w:val="009F52AA"/>
    <w:rsid w:val="00A20521"/>
    <w:rsid w:val="00A4168E"/>
    <w:rsid w:val="00AC4903"/>
    <w:rsid w:val="00B325C8"/>
    <w:rsid w:val="00BD3F0E"/>
    <w:rsid w:val="00CB467C"/>
    <w:rsid w:val="00CB7CA6"/>
    <w:rsid w:val="00D143AC"/>
    <w:rsid w:val="00D243F3"/>
    <w:rsid w:val="00D8682C"/>
    <w:rsid w:val="00DB7783"/>
    <w:rsid w:val="00E11B7E"/>
    <w:rsid w:val="00E625F1"/>
    <w:rsid w:val="00E6459A"/>
    <w:rsid w:val="00EA13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3D72B"/>
  <w15:docId w15:val="{E91B4D8F-75D2-4335-9714-269EA4FAF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uiPriority w:val="35"/>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22B"/>
    <w:pPr>
      <w:tabs>
        <w:tab w:val="center" w:pos="4680"/>
        <w:tab w:val="right" w:pos="9360"/>
      </w:tabs>
    </w:pPr>
    <w:rPr>
      <w:lang w:val="x-none"/>
    </w:r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rPr>
      <w:lang w:val="x-none"/>
    </w:r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lang w:val="x-none"/>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pPr>
      <w:spacing w:line="480" w:lineRule="auto"/>
      <w:ind w:left="720" w:hanging="720"/>
    </w:pPr>
  </w:style>
  <w:style w:type="paragraph" w:styleId="NoSpacing">
    <w:name w:val="No Spacing"/>
    <w:uiPriority w:val="1"/>
    <w:qFormat/>
    <w:rsid w:val="0070706E"/>
    <w:pPr>
      <w:suppressAutoHyphens/>
    </w:pPr>
    <w:rPr>
      <w:lang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character" w:customStyle="1" w:styleId="UnresolvedMention2">
    <w:name w:val="Unresolved Mention2"/>
    <w:basedOn w:val="DefaultParagraphFont"/>
    <w:uiPriority w:val="99"/>
    <w:semiHidden/>
    <w:unhideWhenUsed/>
    <w:rsid w:val="00A87C61"/>
    <w:rPr>
      <w:color w:val="605E5C"/>
      <w:shd w:val="clear" w:color="auto" w:fill="E1DFDD"/>
    </w:r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HTMLPreformatted">
    <w:name w:val="HTML Preformatted"/>
    <w:basedOn w:val="Normal"/>
    <w:link w:val="HTMLPreformattedChar"/>
    <w:uiPriority w:val="99"/>
    <w:unhideWhenUsed/>
    <w:rsid w:val="00A41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s-CR" w:eastAsia="es-ES_tradnl"/>
    </w:rPr>
  </w:style>
  <w:style w:type="character" w:customStyle="1" w:styleId="HTMLPreformattedChar">
    <w:name w:val="HTML Preformatted Char"/>
    <w:basedOn w:val="DefaultParagraphFont"/>
    <w:link w:val="HTMLPreformatted"/>
    <w:uiPriority w:val="99"/>
    <w:rsid w:val="00A4168E"/>
    <w:rPr>
      <w:rFonts w:ascii="Courier New" w:hAnsi="Courier New"/>
      <w:sz w:val="20"/>
      <w:szCs w:val="20"/>
      <w:lang w:val="es-CR" w:eastAsia="es-ES_tradnl"/>
    </w:rPr>
  </w:style>
  <w:style w:type="character" w:styleId="CommentReference">
    <w:name w:val="annotation reference"/>
    <w:basedOn w:val="DefaultParagraphFont"/>
    <w:uiPriority w:val="99"/>
    <w:semiHidden/>
    <w:unhideWhenUsed/>
    <w:rsid w:val="00DB7783"/>
    <w:rPr>
      <w:sz w:val="16"/>
      <w:szCs w:val="16"/>
    </w:rPr>
  </w:style>
  <w:style w:type="paragraph" w:styleId="CommentText">
    <w:name w:val="annotation text"/>
    <w:basedOn w:val="Normal"/>
    <w:link w:val="CommentTextChar"/>
    <w:uiPriority w:val="99"/>
    <w:unhideWhenUsed/>
    <w:rsid w:val="00DB7783"/>
    <w:rPr>
      <w:sz w:val="20"/>
      <w:szCs w:val="20"/>
    </w:rPr>
  </w:style>
  <w:style w:type="character" w:customStyle="1" w:styleId="CommentTextChar">
    <w:name w:val="Comment Text Char"/>
    <w:basedOn w:val="DefaultParagraphFont"/>
    <w:link w:val="CommentText"/>
    <w:uiPriority w:val="99"/>
    <w:rsid w:val="00DB7783"/>
    <w:rPr>
      <w:sz w:val="20"/>
      <w:szCs w:val="20"/>
      <w:lang w:eastAsia="ar-SA"/>
    </w:rPr>
  </w:style>
  <w:style w:type="paragraph" w:styleId="CommentSubject">
    <w:name w:val="annotation subject"/>
    <w:basedOn w:val="CommentText"/>
    <w:next w:val="CommentText"/>
    <w:link w:val="CommentSubjectChar"/>
    <w:uiPriority w:val="99"/>
    <w:semiHidden/>
    <w:unhideWhenUsed/>
    <w:rsid w:val="00DB7783"/>
    <w:rPr>
      <w:b/>
      <w:bCs/>
    </w:rPr>
  </w:style>
  <w:style w:type="character" w:customStyle="1" w:styleId="CommentSubjectChar">
    <w:name w:val="Comment Subject Char"/>
    <w:basedOn w:val="CommentTextChar"/>
    <w:link w:val="CommentSubject"/>
    <w:uiPriority w:val="99"/>
    <w:semiHidden/>
    <w:rsid w:val="00DB7783"/>
    <w:rPr>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483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3.jpe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2.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jcss/index"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uB9bDo3JwKlCkyAa0HFD6YGEVw==">AMUW2mUWZj1fO3jnllLVUNWe/gHbTXjSlE9K6zyazxy8HFOL2pOBPJP29K05yNUjmFVTZc31Iy5yDvlCI0OYp9fDoOjZXSgJ8445V3BiNHh/ATLQ8HJYQJlyK76PerRPCVC3bGgmY2pk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2B44FD-7E63-4B68-9A86-741012D1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15</Pages>
  <Words>25289</Words>
  <Characters>144148</Characters>
  <Application>Microsoft Office Word</Application>
  <DocSecurity>0</DocSecurity>
  <Lines>1201</Lines>
  <Paragraphs>338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UPV/EHU</Company>
  <LinksUpToDate>false</LinksUpToDate>
  <CharactersWithSpaces>169099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pengetikan</dc:creator>
  <cp:lastModifiedBy>ASUS</cp:lastModifiedBy>
  <cp:revision>7</cp:revision>
  <dcterms:created xsi:type="dcterms:W3CDTF">2022-09-20T05:21:00Z</dcterms:created>
  <dcterms:modified xsi:type="dcterms:W3CDTF">2023-08-17T01:11:00Z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d1740f06-a17a-34a3-98b3-59e6459aff52</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http://www.zotero.org/styles/chicago-fullnote-bibliography-with-ibid</vt:lpwstr>
  </property>
  <property fmtid="{D5CDD505-2E9C-101B-9397-08002B2CF9AE}" pid="8" name="Mendeley Recent Style Name 1_1">
    <vt:lpwstr>Chicago Manual of Style 17th edition (full note, with Ibid.)</vt:lpwstr>
  </property>
  <property fmtid="{D5CDD505-2E9C-101B-9397-08002B2CF9AE}" pid="9" name="Mendeley Recent Style Id 2_1">
    <vt:lpwstr>http://www.zotero.org/styles/de-montfort-university-harvard</vt:lpwstr>
  </property>
  <property fmtid="{D5CDD505-2E9C-101B-9397-08002B2CF9AE}" pid="10" name="Mendeley Recent Style Name 2_1">
    <vt:lpwstr>De Montfort University - Harvard</vt:lpwstr>
  </property>
  <property fmtid="{D5CDD505-2E9C-101B-9397-08002B2CF9AE}" pid="11" name="Mendeley Recent Style Id 3_1">
    <vt:lpwstr>http://www.zotero.org/styles/elsevier-harvard</vt:lpwstr>
  </property>
  <property fmtid="{D5CDD505-2E9C-101B-9397-08002B2CF9AE}" pid="12" name="Mendeley Recent Style Name 3_1">
    <vt:lpwstr>Elsevier - Harvard (with titles)</vt:lpwstr>
  </property>
  <property fmtid="{D5CDD505-2E9C-101B-9397-08002B2CF9AE}" pid="13" name="Mendeley Recent Style Id 4_1">
    <vt:lpwstr>http://www.zotero.org/styles/elsevier-harvard2</vt:lpwstr>
  </property>
  <property fmtid="{D5CDD505-2E9C-101B-9397-08002B2CF9AE}" pid="14" name="Mendeley Recent Style Name 4_1">
    <vt:lpwstr>Elsevier - Harvard 2</vt:lpwstr>
  </property>
  <property fmtid="{D5CDD505-2E9C-101B-9397-08002B2CF9AE}" pid="15" name="Mendeley Recent Style Id 5_1">
    <vt:lpwstr>http://www.zotero.org/styles/emerald-harvard</vt:lpwstr>
  </property>
  <property fmtid="{D5CDD505-2E9C-101B-9397-08002B2CF9AE}" pid="16" name="Mendeley Recent Style Name 5_1">
    <vt:lpwstr>Emerald - Harvard</vt:lpwstr>
  </property>
  <property fmtid="{D5CDD505-2E9C-101B-9397-08002B2CF9AE}" pid="17" name="Mendeley Recent Style Id 6_1">
    <vt:lpwstr>http://www.zotero.org/styles/griffith-college-harvard</vt:lpwstr>
  </property>
  <property fmtid="{D5CDD505-2E9C-101B-9397-08002B2CF9AE}" pid="18" name="Mendeley Recent Style Name 6_1">
    <vt:lpwstr>Griffith College - Harvard</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http://www.zotero.org/styles/modern-humanities-research-association</vt:lpwstr>
  </property>
  <property fmtid="{D5CDD505-2E9C-101B-9397-08002B2CF9AE}" pid="24" name="Mendeley Recent Style Name 9_1">
    <vt:lpwstr>Modern Humanities Research Association 3rd edition (note with bibliography)</vt:lpwstr>
  </property>
  <property fmtid="{D5CDD505-2E9C-101B-9397-08002B2CF9AE}" pid="25" name="ZOTERO_PREF_1">
    <vt:lpwstr>&lt;data data-version="3" zotero-version="6.0.26"&gt;&lt;session id="VQHgM34i"/&gt;&lt;style id="http://www.zotero.org/styles/apa" locale="en-GB" hasBibliography="1" bibliographyStyleHasBeenSet="1"/&gt;&lt;prefs&gt;&lt;pref name="fieldType" value="Field"/&gt;&lt;/prefs&gt;&lt;/data&gt;</vt:lpwstr>
  </property>
</Properties>
</file>