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8482" w14:textId="77777777" w:rsidR="00AD38EA" w:rsidRPr="00B66BA4" w:rsidRDefault="00AD38EA" w:rsidP="00B66BA4">
      <w:pPr>
        <w:spacing w:line="276" w:lineRule="auto"/>
        <w:rPr>
          <w:rFonts w:ascii="Cambria" w:hAnsi="Cambria"/>
          <w:b/>
          <w:bCs/>
          <w:sz w:val="28"/>
          <w:szCs w:val="28"/>
        </w:rPr>
      </w:pPr>
    </w:p>
    <w:p w14:paraId="0058D5A6" w14:textId="691AB4DD" w:rsidR="00496C0A" w:rsidRPr="00496C0A" w:rsidRDefault="00496C0A" w:rsidP="00496C0A">
      <w:pPr>
        <w:ind w:left="374" w:hanging="374"/>
        <w:jc w:val="center"/>
        <w:rPr>
          <w:rFonts w:ascii="Cambria" w:hAnsi="Cambria"/>
          <w:b/>
          <w:bCs/>
          <w:iCs/>
          <w:sz w:val="28"/>
          <w:szCs w:val="28"/>
        </w:rPr>
      </w:pPr>
      <w:r w:rsidRPr="00496C0A">
        <w:rPr>
          <w:rFonts w:ascii="Cambria" w:hAnsi="Cambria"/>
          <w:b/>
          <w:bCs/>
          <w:iCs/>
          <w:sz w:val="28"/>
          <w:szCs w:val="28"/>
        </w:rPr>
        <w:t>21</w:t>
      </w:r>
      <w:r w:rsidRPr="00496C0A">
        <w:rPr>
          <w:rFonts w:ascii="Cambria" w:hAnsi="Cambria"/>
          <w:b/>
          <w:bCs/>
          <w:iCs/>
          <w:sz w:val="28"/>
          <w:szCs w:val="28"/>
          <w:vertAlign w:val="superscript"/>
        </w:rPr>
        <w:t>st</w:t>
      </w:r>
      <w:r>
        <w:rPr>
          <w:rFonts w:ascii="Cambria" w:hAnsi="Cambria"/>
          <w:b/>
          <w:bCs/>
          <w:iCs/>
          <w:sz w:val="28"/>
          <w:szCs w:val="28"/>
        </w:rPr>
        <w:t xml:space="preserve"> </w:t>
      </w:r>
      <w:r w:rsidRPr="00496C0A">
        <w:rPr>
          <w:rFonts w:ascii="Cambria" w:hAnsi="Cambria"/>
          <w:b/>
          <w:bCs/>
          <w:iCs/>
          <w:sz w:val="28"/>
          <w:szCs w:val="28"/>
        </w:rPr>
        <w:t xml:space="preserve">Century </w:t>
      </w:r>
      <w:r>
        <w:rPr>
          <w:rFonts w:ascii="Cambria" w:hAnsi="Cambria"/>
          <w:b/>
          <w:bCs/>
          <w:iCs/>
          <w:sz w:val="28"/>
          <w:szCs w:val="28"/>
        </w:rPr>
        <w:t xml:space="preserve">STEM </w:t>
      </w:r>
      <w:r w:rsidRPr="00496C0A">
        <w:rPr>
          <w:rFonts w:ascii="Cambria" w:hAnsi="Cambria"/>
          <w:b/>
          <w:bCs/>
          <w:iCs/>
          <w:sz w:val="28"/>
          <w:szCs w:val="28"/>
        </w:rPr>
        <w:t xml:space="preserve">Education: An Increase </w:t>
      </w:r>
      <w:r>
        <w:rPr>
          <w:rFonts w:ascii="Cambria" w:hAnsi="Cambria"/>
          <w:b/>
          <w:bCs/>
          <w:iCs/>
          <w:sz w:val="28"/>
          <w:szCs w:val="28"/>
        </w:rPr>
        <w:t>i</w:t>
      </w:r>
      <w:r w:rsidRPr="00496C0A">
        <w:rPr>
          <w:rFonts w:ascii="Cambria" w:hAnsi="Cambria"/>
          <w:b/>
          <w:bCs/>
          <w:iCs/>
          <w:sz w:val="28"/>
          <w:szCs w:val="28"/>
        </w:rPr>
        <w:t xml:space="preserve">n Mathematical Critical Thinking Skills </w:t>
      </w:r>
      <w:r>
        <w:rPr>
          <w:rFonts w:ascii="Cambria" w:hAnsi="Cambria"/>
          <w:b/>
          <w:bCs/>
          <w:iCs/>
          <w:sz w:val="28"/>
          <w:szCs w:val="28"/>
        </w:rPr>
        <w:t>a</w:t>
      </w:r>
      <w:r w:rsidRPr="00496C0A">
        <w:rPr>
          <w:rFonts w:ascii="Cambria" w:hAnsi="Cambria"/>
          <w:b/>
          <w:bCs/>
          <w:iCs/>
          <w:sz w:val="28"/>
          <w:szCs w:val="28"/>
        </w:rPr>
        <w:t>nd Gender</w:t>
      </w:r>
      <w:r w:rsidR="00CA222F">
        <w:rPr>
          <w:rFonts w:ascii="Cambria" w:hAnsi="Cambria"/>
          <w:b/>
          <w:bCs/>
          <w:iCs/>
          <w:sz w:val="28"/>
          <w:szCs w:val="28"/>
        </w:rPr>
        <w:t xml:space="preserve"> t</w:t>
      </w:r>
      <w:r w:rsidR="009A46EF">
        <w:rPr>
          <w:rFonts w:ascii="Cambria" w:hAnsi="Cambria"/>
          <w:b/>
          <w:bCs/>
          <w:iCs/>
          <w:sz w:val="28"/>
          <w:szCs w:val="28"/>
        </w:rPr>
        <w:t>hrough Technologycal</w:t>
      </w:r>
      <w:r w:rsidR="000A25AF">
        <w:rPr>
          <w:rFonts w:ascii="Cambria" w:hAnsi="Cambria"/>
          <w:b/>
          <w:bCs/>
          <w:iCs/>
          <w:sz w:val="28"/>
          <w:szCs w:val="28"/>
        </w:rPr>
        <w:t xml:space="preserve"> Integration</w:t>
      </w:r>
    </w:p>
    <w:p w14:paraId="49441C62" w14:textId="77777777" w:rsidR="00A01DAD" w:rsidRPr="00B66BA4" w:rsidRDefault="00A01DAD" w:rsidP="00755763">
      <w:pPr>
        <w:jc w:val="center"/>
        <w:rPr>
          <w:rFonts w:ascii="Cambria" w:hAnsi="Cambria"/>
          <w:b/>
          <w:bCs/>
        </w:rPr>
      </w:pPr>
    </w:p>
    <w:tbl>
      <w:tblPr>
        <w:tblW w:w="9356" w:type="dxa"/>
        <w:jc w:val="center"/>
        <w:tblLayout w:type="fixed"/>
        <w:tblCellMar>
          <w:left w:w="0" w:type="dxa"/>
          <w:right w:w="0" w:type="dxa"/>
        </w:tblCellMar>
        <w:tblLook w:val="01E0" w:firstRow="1" w:lastRow="1" w:firstColumn="1" w:lastColumn="1" w:noHBand="0" w:noVBand="0"/>
      </w:tblPr>
      <w:tblGrid>
        <w:gridCol w:w="3118"/>
        <w:gridCol w:w="3119"/>
        <w:gridCol w:w="3119"/>
      </w:tblGrid>
      <w:tr w:rsidR="00DC488A" w14:paraId="3E402A37" w14:textId="77777777" w:rsidTr="00F17602">
        <w:trPr>
          <w:trHeight w:hRule="exact" w:val="340"/>
          <w:jc w:val="center"/>
        </w:trPr>
        <w:tc>
          <w:tcPr>
            <w:tcW w:w="3118" w:type="dxa"/>
          </w:tcPr>
          <w:p w14:paraId="476CB077" w14:textId="2594D4AE" w:rsidR="00DC488A" w:rsidRPr="00DC488A" w:rsidRDefault="006B1B59" w:rsidP="00DC488A">
            <w:pPr>
              <w:spacing w:before="80"/>
              <w:jc w:val="center"/>
              <w:rPr>
                <w:rFonts w:ascii="Cambria" w:eastAsia="Cambria" w:hAnsi="Cambria" w:cs="Cambria"/>
                <w:sz w:val="21"/>
                <w:szCs w:val="21"/>
              </w:rPr>
            </w:pPr>
            <w:r>
              <w:rPr>
                <w:rFonts w:ascii="Cambria" w:eastAsia="Cambria" w:hAnsi="Cambria" w:cs="Cambria"/>
                <w:b/>
                <w:spacing w:val="-3"/>
                <w:sz w:val="21"/>
                <w:szCs w:val="21"/>
              </w:rPr>
              <w:t>Suherman</w:t>
            </w:r>
            <w:r w:rsidR="00DC488A">
              <w:rPr>
                <w:rFonts w:ascii="Cambria" w:eastAsia="Cambria" w:hAnsi="Cambria" w:cs="Cambria"/>
                <w:b/>
                <w:spacing w:val="-3"/>
                <w:sz w:val="21"/>
                <w:szCs w:val="21"/>
              </w:rPr>
              <w:t>*</w:t>
            </w:r>
          </w:p>
        </w:tc>
        <w:tc>
          <w:tcPr>
            <w:tcW w:w="3119" w:type="dxa"/>
          </w:tcPr>
          <w:p w14:paraId="2FBAA630" w14:textId="4CDF193C" w:rsidR="00DC488A" w:rsidRDefault="006B1B59" w:rsidP="00DC488A">
            <w:pPr>
              <w:spacing w:before="80"/>
              <w:jc w:val="center"/>
              <w:rPr>
                <w:rFonts w:ascii="Cambria" w:eastAsia="Cambria" w:hAnsi="Cambria" w:cs="Cambria"/>
                <w:sz w:val="21"/>
                <w:szCs w:val="21"/>
              </w:rPr>
            </w:pPr>
            <w:r>
              <w:rPr>
                <w:rFonts w:ascii="Cambria" w:eastAsia="Cambria" w:hAnsi="Cambria" w:cs="Cambria"/>
                <w:b/>
                <w:spacing w:val="-3"/>
                <w:sz w:val="21"/>
                <w:szCs w:val="21"/>
              </w:rPr>
              <w:t>Revani Husain Setiawan</w:t>
            </w:r>
          </w:p>
        </w:tc>
        <w:tc>
          <w:tcPr>
            <w:tcW w:w="3119" w:type="dxa"/>
          </w:tcPr>
          <w:p w14:paraId="26865AED" w14:textId="4F63737D" w:rsidR="00DC488A" w:rsidRDefault="00D11AED" w:rsidP="00DC488A">
            <w:pPr>
              <w:spacing w:before="80"/>
              <w:jc w:val="center"/>
              <w:rPr>
                <w:rFonts w:ascii="Cambria" w:eastAsia="Cambria" w:hAnsi="Cambria" w:cs="Cambria"/>
                <w:sz w:val="14"/>
                <w:szCs w:val="14"/>
              </w:rPr>
            </w:pPr>
            <w:r>
              <w:rPr>
                <w:rFonts w:ascii="Cambria" w:eastAsia="Cambria" w:hAnsi="Cambria" w:cs="Cambria"/>
                <w:b/>
                <w:spacing w:val="1"/>
                <w:sz w:val="21"/>
                <w:szCs w:val="21"/>
              </w:rPr>
              <w:t>Herdian</w:t>
            </w:r>
          </w:p>
        </w:tc>
      </w:tr>
      <w:tr w:rsidR="00DC488A" w14:paraId="6E5B4589" w14:textId="77777777" w:rsidTr="00F17602">
        <w:trPr>
          <w:trHeight w:hRule="exact" w:val="858"/>
          <w:jc w:val="center"/>
        </w:trPr>
        <w:tc>
          <w:tcPr>
            <w:tcW w:w="3118" w:type="dxa"/>
          </w:tcPr>
          <w:p w14:paraId="1ABC21BB" w14:textId="244C1779" w:rsidR="00DC488A" w:rsidRDefault="00DC488A"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U</w:t>
            </w:r>
            <w:r>
              <w:rPr>
                <w:rFonts w:ascii="Cambria" w:eastAsia="Cambria" w:hAnsi="Cambria" w:cs="Cambria"/>
                <w:spacing w:val="-3"/>
                <w:sz w:val="15"/>
                <w:szCs w:val="15"/>
              </w:rPr>
              <w:t>niversity</w:t>
            </w:r>
            <w:r w:rsidR="006B1B59">
              <w:rPr>
                <w:rFonts w:ascii="Cambria" w:eastAsia="Cambria" w:hAnsi="Cambria" w:cs="Cambria"/>
                <w:spacing w:val="-3"/>
                <w:sz w:val="15"/>
                <w:szCs w:val="15"/>
              </w:rPr>
              <w:t xml:space="preserve"> of Seged</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6C4C693E" w14:textId="77777777" w:rsidR="00F17602" w:rsidRDefault="00D11AED" w:rsidP="00D11AED">
            <w:pPr>
              <w:spacing w:before="8" w:line="245" w:lineRule="auto"/>
              <w:jc w:val="center"/>
              <w:rPr>
                <w:rFonts w:ascii="Cambria" w:eastAsia="Cambria" w:hAnsi="Cambria" w:cs="Cambria"/>
                <w:spacing w:val="2"/>
                <w:sz w:val="15"/>
                <w:szCs w:val="15"/>
              </w:rPr>
            </w:pPr>
            <w:r>
              <w:rPr>
                <w:rFonts w:ascii="Cambria" w:eastAsia="Cambria" w:hAnsi="Cambria" w:cs="Cambria"/>
                <w:spacing w:val="2"/>
                <w:sz w:val="15"/>
                <w:szCs w:val="15"/>
              </w:rPr>
              <w:t>HUNGARY</w:t>
            </w:r>
            <w:r w:rsidR="008D6B0E">
              <w:rPr>
                <w:rFonts w:ascii="Cambria" w:eastAsia="Cambria" w:hAnsi="Cambria" w:cs="Cambria"/>
                <w:spacing w:val="2"/>
                <w:sz w:val="15"/>
                <w:szCs w:val="15"/>
              </w:rPr>
              <w:t xml:space="preserve"> and </w:t>
            </w:r>
          </w:p>
          <w:p w14:paraId="39298F42" w14:textId="77777777" w:rsidR="00DC488A" w:rsidRDefault="008D6B0E" w:rsidP="00D11AED">
            <w:pPr>
              <w:spacing w:before="8" w:line="245" w:lineRule="auto"/>
              <w:jc w:val="center"/>
              <w:rPr>
                <w:rFonts w:ascii="Cambria" w:eastAsia="Cambria" w:hAnsi="Cambria" w:cs="Cambria"/>
                <w:spacing w:val="2"/>
                <w:sz w:val="15"/>
                <w:szCs w:val="15"/>
              </w:rPr>
            </w:pPr>
            <w:r>
              <w:rPr>
                <w:rFonts w:ascii="Cambria" w:eastAsia="Cambria" w:hAnsi="Cambria" w:cs="Cambria"/>
                <w:spacing w:val="2"/>
                <w:sz w:val="15"/>
                <w:szCs w:val="15"/>
              </w:rPr>
              <w:t xml:space="preserve">Universitas Islam Negeri Raden Intan Lampung, </w:t>
            </w:r>
            <w:r w:rsidR="00D11AED">
              <w:rPr>
                <w:rFonts w:ascii="Cambria" w:eastAsia="Cambria" w:hAnsi="Cambria" w:cs="Cambria"/>
                <w:spacing w:val="2"/>
                <w:sz w:val="15"/>
                <w:szCs w:val="15"/>
              </w:rPr>
              <w:t>INDONESIA</w:t>
            </w:r>
          </w:p>
          <w:p w14:paraId="3EA05673" w14:textId="51EE2C62" w:rsidR="00F17602" w:rsidRPr="00F17602" w:rsidRDefault="00F17602" w:rsidP="00D11AED">
            <w:pPr>
              <w:spacing w:before="8" w:line="245" w:lineRule="auto"/>
              <w:jc w:val="center"/>
              <w:rPr>
                <w:rFonts w:ascii="Cambria" w:eastAsia="Cambria" w:hAnsi="Cambria" w:cs="Cambria"/>
                <w:sz w:val="3"/>
                <w:szCs w:val="15"/>
              </w:rPr>
            </w:pPr>
          </w:p>
        </w:tc>
        <w:tc>
          <w:tcPr>
            <w:tcW w:w="3119" w:type="dxa"/>
          </w:tcPr>
          <w:p w14:paraId="486C438A" w14:textId="17C39D7B" w:rsidR="00DC488A" w:rsidRDefault="006B1B59"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SMK Nurul Islam</w:t>
            </w:r>
            <w:r w:rsidR="00DC488A">
              <w:rPr>
                <w:rFonts w:ascii="Cambria" w:eastAsia="Cambria" w:hAnsi="Cambria" w:cs="Cambria"/>
                <w:sz w:val="15"/>
                <w:szCs w:val="15"/>
              </w:rPr>
              <w:t xml:space="preserve">,  </w:t>
            </w:r>
            <w:r w:rsidR="00DC488A">
              <w:rPr>
                <w:rFonts w:ascii="Cambria" w:eastAsia="Cambria" w:hAnsi="Cambria" w:cs="Cambria"/>
                <w:spacing w:val="2"/>
                <w:sz w:val="15"/>
                <w:szCs w:val="15"/>
              </w:rPr>
              <w:t xml:space="preserve"> </w:t>
            </w:r>
          </w:p>
          <w:p w14:paraId="282144C8" w14:textId="3DAD436F" w:rsidR="00DC488A" w:rsidRDefault="00D11AED"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c>
          <w:tcPr>
            <w:tcW w:w="3119" w:type="dxa"/>
          </w:tcPr>
          <w:p w14:paraId="3A1AEE86" w14:textId="0C9233A2" w:rsidR="00DC488A" w:rsidRDefault="00D11AED" w:rsidP="00DC488A">
            <w:pPr>
              <w:spacing w:before="8" w:line="245" w:lineRule="auto"/>
              <w:jc w:val="center"/>
              <w:rPr>
                <w:rFonts w:ascii="Cambria" w:eastAsia="Cambria" w:hAnsi="Cambria" w:cs="Cambria"/>
                <w:spacing w:val="2"/>
                <w:sz w:val="15"/>
                <w:szCs w:val="15"/>
              </w:rPr>
            </w:pPr>
            <w:r>
              <w:rPr>
                <w:rFonts w:ascii="Cambria" w:eastAsia="Cambria" w:hAnsi="Cambria" w:cs="Cambria"/>
                <w:spacing w:val="-5"/>
                <w:sz w:val="15"/>
                <w:szCs w:val="15"/>
              </w:rPr>
              <w:t>Universitas Lampung</w:t>
            </w:r>
            <w:r w:rsidR="00DC488A">
              <w:rPr>
                <w:rFonts w:ascii="Cambria" w:eastAsia="Cambria" w:hAnsi="Cambria" w:cs="Cambria"/>
                <w:sz w:val="15"/>
                <w:szCs w:val="15"/>
              </w:rPr>
              <w:t xml:space="preserve">,  </w:t>
            </w:r>
            <w:r w:rsidR="00DC488A">
              <w:rPr>
                <w:rFonts w:ascii="Cambria" w:eastAsia="Cambria" w:hAnsi="Cambria" w:cs="Cambria"/>
                <w:spacing w:val="2"/>
                <w:sz w:val="15"/>
                <w:szCs w:val="15"/>
              </w:rPr>
              <w:t xml:space="preserve"> </w:t>
            </w:r>
          </w:p>
          <w:p w14:paraId="1F587FAE" w14:textId="79568786" w:rsidR="00DC488A" w:rsidRDefault="00D11AED"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r>
      <w:tr w:rsidR="00904C2C" w14:paraId="4F748DFF" w14:textId="77777777" w:rsidTr="00F17602">
        <w:trPr>
          <w:trHeight w:hRule="exact" w:val="340"/>
          <w:jc w:val="center"/>
        </w:trPr>
        <w:tc>
          <w:tcPr>
            <w:tcW w:w="3118" w:type="dxa"/>
          </w:tcPr>
          <w:p w14:paraId="534EB106" w14:textId="3A1607BD" w:rsidR="00904C2C" w:rsidRPr="00DC488A" w:rsidRDefault="00904C2C" w:rsidP="007E3186">
            <w:pPr>
              <w:spacing w:before="80"/>
              <w:jc w:val="center"/>
              <w:rPr>
                <w:rFonts w:ascii="Cambria" w:eastAsia="Cambria" w:hAnsi="Cambria" w:cs="Cambria"/>
                <w:sz w:val="21"/>
                <w:szCs w:val="21"/>
              </w:rPr>
            </w:pPr>
            <w:r>
              <w:rPr>
                <w:rFonts w:ascii="Cambria" w:eastAsia="Cambria" w:hAnsi="Cambria" w:cs="Cambria"/>
                <w:b/>
                <w:spacing w:val="-3"/>
                <w:sz w:val="21"/>
                <w:szCs w:val="21"/>
              </w:rPr>
              <w:t>Bambang Sri Anggoro</w:t>
            </w:r>
          </w:p>
        </w:tc>
        <w:tc>
          <w:tcPr>
            <w:tcW w:w="3119" w:type="dxa"/>
          </w:tcPr>
          <w:p w14:paraId="0CEA2380" w14:textId="28B0FFF8" w:rsidR="00904C2C" w:rsidRPr="0076405A" w:rsidRDefault="00F17602" w:rsidP="007E3186">
            <w:pPr>
              <w:spacing w:before="80"/>
              <w:jc w:val="center"/>
              <w:rPr>
                <w:rFonts w:ascii="Cambria" w:eastAsia="Cambria" w:hAnsi="Cambria" w:cs="Cambria"/>
                <w:b/>
                <w:sz w:val="21"/>
                <w:szCs w:val="21"/>
              </w:rPr>
            </w:pPr>
            <w:r w:rsidRPr="0076405A">
              <w:rPr>
                <w:rFonts w:ascii="Cambria" w:eastAsia="Cambria" w:hAnsi="Cambria" w:cs="Cambria"/>
                <w:b/>
                <w:sz w:val="21"/>
                <w:szCs w:val="21"/>
              </w:rPr>
              <w:t>Rany Widyastuti</w:t>
            </w:r>
          </w:p>
        </w:tc>
        <w:tc>
          <w:tcPr>
            <w:tcW w:w="3119" w:type="dxa"/>
          </w:tcPr>
          <w:p w14:paraId="0D60A3B2" w14:textId="77126513" w:rsidR="00904C2C" w:rsidRDefault="00904C2C" w:rsidP="007E3186">
            <w:pPr>
              <w:spacing w:before="80"/>
              <w:jc w:val="center"/>
              <w:rPr>
                <w:rFonts w:ascii="Cambria" w:eastAsia="Cambria" w:hAnsi="Cambria" w:cs="Cambria"/>
                <w:sz w:val="14"/>
                <w:szCs w:val="14"/>
              </w:rPr>
            </w:pPr>
          </w:p>
        </w:tc>
      </w:tr>
      <w:tr w:rsidR="00904C2C" w14:paraId="69AC46BD" w14:textId="77777777" w:rsidTr="00F17602">
        <w:trPr>
          <w:trHeight w:hRule="exact" w:val="701"/>
          <w:jc w:val="center"/>
        </w:trPr>
        <w:tc>
          <w:tcPr>
            <w:tcW w:w="3118" w:type="dxa"/>
          </w:tcPr>
          <w:p w14:paraId="77D669AF" w14:textId="77777777" w:rsidR="00904C2C" w:rsidRDefault="00904C2C" w:rsidP="00904C2C">
            <w:pPr>
              <w:spacing w:before="8" w:line="245" w:lineRule="auto"/>
              <w:jc w:val="center"/>
              <w:rPr>
                <w:rFonts w:ascii="Cambria" w:eastAsia="Cambria" w:hAnsi="Cambria" w:cs="Cambria"/>
                <w:spacing w:val="2"/>
                <w:sz w:val="15"/>
                <w:szCs w:val="15"/>
              </w:rPr>
            </w:pPr>
            <w:r>
              <w:rPr>
                <w:rFonts w:ascii="Cambria" w:eastAsia="Cambria" w:hAnsi="Cambria" w:cs="Cambria"/>
                <w:spacing w:val="2"/>
                <w:sz w:val="15"/>
                <w:szCs w:val="15"/>
              </w:rPr>
              <w:t xml:space="preserve"> Universitas Islam Negeri Raden Intan Lampung,</w:t>
            </w:r>
          </w:p>
          <w:p w14:paraId="3642557B" w14:textId="00632D88" w:rsidR="00904C2C" w:rsidRPr="00904C2C" w:rsidRDefault="00904C2C" w:rsidP="00904C2C">
            <w:pPr>
              <w:spacing w:before="8" w:line="245" w:lineRule="auto"/>
              <w:jc w:val="center"/>
              <w:rPr>
                <w:rFonts w:ascii="Cambria" w:eastAsia="Cambria" w:hAnsi="Cambria" w:cs="Cambria"/>
                <w:spacing w:val="2"/>
                <w:sz w:val="15"/>
                <w:szCs w:val="15"/>
              </w:rPr>
            </w:pPr>
            <w:r>
              <w:rPr>
                <w:rFonts w:ascii="Cambria" w:eastAsia="Cambria" w:hAnsi="Cambria" w:cs="Cambria"/>
                <w:spacing w:val="2"/>
                <w:sz w:val="15"/>
                <w:szCs w:val="15"/>
              </w:rPr>
              <w:t>INDONESIA</w:t>
            </w:r>
          </w:p>
        </w:tc>
        <w:tc>
          <w:tcPr>
            <w:tcW w:w="3119" w:type="dxa"/>
          </w:tcPr>
          <w:p w14:paraId="51468F7E" w14:textId="77777777" w:rsidR="00904C2C" w:rsidRDefault="00F17602" w:rsidP="007E3186">
            <w:pPr>
              <w:spacing w:before="8" w:line="245" w:lineRule="auto"/>
              <w:jc w:val="center"/>
              <w:rPr>
                <w:rFonts w:ascii="Cambria" w:eastAsia="Cambria" w:hAnsi="Cambria" w:cs="Cambria"/>
                <w:sz w:val="15"/>
                <w:szCs w:val="15"/>
              </w:rPr>
            </w:pPr>
            <w:r>
              <w:rPr>
                <w:rFonts w:ascii="Cambria" w:eastAsia="Cambria" w:hAnsi="Cambria" w:cs="Cambria"/>
                <w:sz w:val="15"/>
                <w:szCs w:val="15"/>
              </w:rPr>
              <w:t>IAIN Madura,</w:t>
            </w:r>
          </w:p>
          <w:p w14:paraId="152C8C13" w14:textId="1A183F86" w:rsidR="00F17602" w:rsidRDefault="00F17602" w:rsidP="007E3186">
            <w:pPr>
              <w:spacing w:before="8" w:line="245" w:lineRule="auto"/>
              <w:jc w:val="center"/>
              <w:rPr>
                <w:rFonts w:ascii="Cambria" w:eastAsia="Cambria" w:hAnsi="Cambria" w:cs="Cambria"/>
                <w:sz w:val="15"/>
                <w:szCs w:val="15"/>
              </w:rPr>
            </w:pPr>
            <w:r>
              <w:rPr>
                <w:rFonts w:ascii="Cambria" w:eastAsia="Cambria" w:hAnsi="Cambria" w:cs="Cambria"/>
                <w:sz w:val="15"/>
                <w:szCs w:val="15"/>
              </w:rPr>
              <w:t>INDONESIA</w:t>
            </w:r>
          </w:p>
        </w:tc>
        <w:tc>
          <w:tcPr>
            <w:tcW w:w="3119" w:type="dxa"/>
          </w:tcPr>
          <w:p w14:paraId="36D377EB" w14:textId="385B505A" w:rsidR="00904C2C" w:rsidRDefault="00904C2C" w:rsidP="007E3186">
            <w:pPr>
              <w:spacing w:before="8" w:line="245" w:lineRule="auto"/>
              <w:jc w:val="center"/>
              <w:rPr>
                <w:rFonts w:ascii="Cambria" w:eastAsia="Cambria" w:hAnsi="Cambria" w:cs="Cambria"/>
                <w:sz w:val="15"/>
                <w:szCs w:val="15"/>
              </w:rPr>
            </w:pPr>
          </w:p>
        </w:tc>
      </w:tr>
    </w:tbl>
    <w:p w14:paraId="6069D4BE" w14:textId="5CABB172" w:rsidR="00A01DAD" w:rsidRDefault="00A01DAD" w:rsidP="00755763">
      <w:pPr>
        <w:jc w:val="center"/>
        <w:rPr>
          <w:rFonts w:ascii="Cambria" w:hAnsi="Cambria"/>
        </w:rPr>
      </w:pPr>
    </w:p>
    <w:p w14:paraId="10C096FA" w14:textId="77777777" w:rsidR="005A61E1" w:rsidRPr="00B66BA4" w:rsidRDefault="005A61E1"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5A61E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A61E1" w:rsidRDefault="00A5426A" w:rsidP="00755763">
            <w:pPr>
              <w:jc w:val="both"/>
              <w:rPr>
                <w:rFonts w:ascii="Cambria" w:hAnsi="Cambria"/>
                <w:color w:val="000000"/>
                <w:sz w:val="18"/>
                <w:szCs w:val="18"/>
                <w:lang w:val="fi-FI"/>
              </w:rPr>
            </w:pPr>
          </w:p>
          <w:p w14:paraId="6B32239C" w14:textId="42929AB0" w:rsidR="009058AB" w:rsidRPr="005A61E1" w:rsidRDefault="009058AB" w:rsidP="00D16D64">
            <w:pPr>
              <w:jc w:val="both"/>
              <w:rPr>
                <w:rFonts w:ascii="Cambria" w:hAnsi="Cambria"/>
                <w:color w:val="000000"/>
                <w:sz w:val="18"/>
                <w:szCs w:val="18"/>
                <w:lang w:val="fi-FI"/>
              </w:rPr>
            </w:pPr>
            <w:r w:rsidRPr="009058AB">
              <w:rPr>
                <w:rFonts w:ascii="Cambria" w:hAnsi="Cambria"/>
                <w:color w:val="000000"/>
                <w:sz w:val="18"/>
                <w:szCs w:val="18"/>
                <w:lang w:val="fi-FI"/>
              </w:rPr>
              <w:t xml:space="preserve">STEM learning is the process of improving one's mathematical critical thinking ability in the twenty-first century. The study intends to compare the mathematical skills of critical thinking between genders through STEM learning. The research method employs a quasi-experiment design with </w:t>
            </w:r>
            <w:r w:rsidR="00D16D64">
              <w:rPr>
                <w:rFonts w:ascii="Cambria" w:hAnsi="Cambria"/>
                <w:color w:val="000000"/>
                <w:sz w:val="18"/>
                <w:szCs w:val="18"/>
                <w:lang w:val="fi-FI"/>
              </w:rPr>
              <w:t>2</w:t>
            </w:r>
            <w:r w:rsidRPr="009058AB">
              <w:rPr>
                <w:rFonts w:ascii="Cambria" w:hAnsi="Cambria"/>
                <w:color w:val="000000"/>
                <w:sz w:val="18"/>
                <w:szCs w:val="18"/>
                <w:lang w:val="fi-FI"/>
              </w:rPr>
              <w:t xml:space="preserve"> x </w:t>
            </w:r>
            <w:r w:rsidR="00D16D64">
              <w:rPr>
                <w:rFonts w:ascii="Cambria" w:hAnsi="Cambria"/>
                <w:color w:val="000000"/>
                <w:sz w:val="18"/>
                <w:szCs w:val="18"/>
                <w:lang w:val="fi-FI"/>
              </w:rPr>
              <w:t xml:space="preserve">2 </w:t>
            </w:r>
            <w:r w:rsidRPr="009058AB">
              <w:rPr>
                <w:rFonts w:ascii="Cambria" w:hAnsi="Cambria"/>
                <w:color w:val="000000"/>
                <w:sz w:val="18"/>
                <w:szCs w:val="18"/>
                <w:lang w:val="fi-FI"/>
              </w:rPr>
              <w:t>factorial designs and a simple random sampling technique. Data collection techniques employ a test method to assess learners' mathematical critical thinking skills. The normality and homogeneity tests, as well as the hypothesis of using two paths Anava, are used in the test analysis.</w:t>
            </w:r>
            <w:r>
              <w:rPr>
                <w:rFonts w:ascii="Cambria" w:hAnsi="Cambria"/>
                <w:color w:val="000000"/>
                <w:sz w:val="18"/>
                <w:szCs w:val="18"/>
                <w:lang w:val="fi-FI"/>
              </w:rPr>
              <w:t xml:space="preserve"> </w:t>
            </w:r>
            <w:r w:rsidRPr="009058AB">
              <w:rPr>
                <w:rFonts w:ascii="Cambria" w:hAnsi="Cambria"/>
                <w:color w:val="000000"/>
                <w:sz w:val="18"/>
                <w:szCs w:val="18"/>
                <w:lang w:val="fi-FI"/>
              </w:rPr>
              <w:t xml:space="preserve">The research findings are as follows: (1) there are differences between STEM and conventional learning in terms of mathematical critical thinking skills, as well as the use of STEM </w:t>
            </w:r>
            <w:r w:rsidR="00EB4B17">
              <w:rPr>
                <w:rFonts w:ascii="Cambria" w:hAnsi="Cambria"/>
                <w:color w:val="000000"/>
                <w:sz w:val="18"/>
                <w:szCs w:val="18"/>
                <w:lang w:val="fi-FI"/>
              </w:rPr>
              <w:t xml:space="preserve">through </w:t>
            </w:r>
            <w:r w:rsidR="00EB4B17" w:rsidRPr="00EB4B17">
              <w:rPr>
                <w:rFonts w:ascii="Cambria" w:hAnsi="Cambria"/>
                <w:color w:val="000000" w:themeColor="text1"/>
                <w:sz w:val="18"/>
                <w:szCs w:val="22"/>
              </w:rPr>
              <w:t>technological integration</w:t>
            </w:r>
            <w:r w:rsidR="00EB4B17">
              <w:rPr>
                <w:rFonts w:ascii="Cambria" w:hAnsi="Cambria"/>
                <w:color w:val="000000"/>
                <w:sz w:val="14"/>
                <w:szCs w:val="18"/>
                <w:lang w:val="fi-FI"/>
              </w:rPr>
              <w:t xml:space="preserve"> </w:t>
            </w:r>
            <w:r w:rsidRPr="009058AB">
              <w:rPr>
                <w:rFonts w:ascii="Cambria" w:hAnsi="Cambria"/>
                <w:color w:val="000000"/>
                <w:sz w:val="18"/>
                <w:szCs w:val="18"/>
                <w:lang w:val="fi-FI"/>
              </w:rPr>
              <w:t>learning being more effective than conventional learning; (2) there is a difference in the results of mathematical critical thinking ability between male and female learners, with female learners having a higher ability to use critical thinking skills.</w:t>
            </w:r>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5A61E1" w:rsidRDefault="00A5426A" w:rsidP="008406D3">
            <w:pPr>
              <w:jc w:val="both"/>
              <w:rPr>
                <w:rFonts w:ascii="Cambria" w:hAnsi="Cambria"/>
                <w:b/>
                <w:i/>
                <w:sz w:val="18"/>
                <w:szCs w:val="18"/>
              </w:rPr>
            </w:pPr>
          </w:p>
          <w:p w14:paraId="281646EB" w14:textId="71325083" w:rsidR="00A5426A" w:rsidRPr="005A61E1" w:rsidRDefault="00A5426A" w:rsidP="00755763">
            <w:pPr>
              <w:spacing w:after="120"/>
              <w:jc w:val="both"/>
              <w:rPr>
                <w:rFonts w:ascii="Cambria" w:hAnsi="Cambria"/>
                <w:b/>
                <w:i/>
                <w:sz w:val="18"/>
                <w:szCs w:val="18"/>
              </w:rPr>
            </w:pPr>
            <w:r w:rsidRPr="005A61E1">
              <w:rPr>
                <w:rFonts w:ascii="Cambria" w:hAnsi="Cambria"/>
                <w:b/>
                <w:i/>
                <w:sz w:val="18"/>
                <w:szCs w:val="18"/>
              </w:rPr>
              <w:t>Keywords:</w:t>
            </w:r>
          </w:p>
          <w:p w14:paraId="79AB6B20" w14:textId="7E020894" w:rsidR="00A5426A" w:rsidRPr="005A61E1" w:rsidRDefault="002939AF" w:rsidP="00755763">
            <w:pPr>
              <w:jc w:val="both"/>
              <w:rPr>
                <w:rFonts w:ascii="Cambria" w:hAnsi="Cambria"/>
                <w:sz w:val="18"/>
                <w:szCs w:val="18"/>
              </w:rPr>
            </w:pPr>
            <w:r>
              <w:rPr>
                <w:rFonts w:ascii="Cambria" w:hAnsi="Cambria"/>
                <w:sz w:val="18"/>
                <w:szCs w:val="18"/>
              </w:rPr>
              <w:t>Mathematical critical thinking</w:t>
            </w:r>
          </w:p>
          <w:p w14:paraId="4039AEF3" w14:textId="59FD785D" w:rsidR="00A5426A" w:rsidRPr="005A61E1" w:rsidRDefault="002939AF" w:rsidP="00755763">
            <w:pPr>
              <w:jc w:val="both"/>
              <w:rPr>
                <w:rFonts w:ascii="Cambria" w:hAnsi="Cambria"/>
                <w:sz w:val="18"/>
                <w:szCs w:val="18"/>
              </w:rPr>
            </w:pPr>
            <w:r>
              <w:rPr>
                <w:rFonts w:ascii="Cambria" w:hAnsi="Cambria"/>
                <w:sz w:val="18"/>
                <w:szCs w:val="18"/>
              </w:rPr>
              <w:t>Gender</w:t>
            </w:r>
          </w:p>
          <w:p w14:paraId="7FF971B9" w14:textId="17F6913D" w:rsidR="00A5426A" w:rsidRPr="005A61E1" w:rsidRDefault="002939AF" w:rsidP="00755763">
            <w:pPr>
              <w:jc w:val="both"/>
              <w:rPr>
                <w:rFonts w:ascii="Cambria" w:hAnsi="Cambria"/>
                <w:sz w:val="18"/>
                <w:szCs w:val="18"/>
              </w:rPr>
            </w:pPr>
            <w:r>
              <w:rPr>
                <w:rFonts w:ascii="Cambria" w:hAnsi="Cambria"/>
                <w:sz w:val="18"/>
                <w:szCs w:val="18"/>
              </w:rPr>
              <w:t>STEM</w:t>
            </w:r>
          </w:p>
          <w:p w14:paraId="3E981A10" w14:textId="1570A84F" w:rsidR="00A5426A" w:rsidRPr="005A61E1" w:rsidRDefault="002939AF" w:rsidP="00755763">
            <w:pPr>
              <w:jc w:val="both"/>
              <w:rPr>
                <w:rFonts w:ascii="Cambria" w:hAnsi="Cambria"/>
                <w:sz w:val="18"/>
                <w:szCs w:val="18"/>
              </w:rPr>
            </w:pPr>
            <w:r>
              <w:rPr>
                <w:rFonts w:ascii="Cambria" w:hAnsi="Cambria"/>
                <w:sz w:val="18"/>
                <w:szCs w:val="18"/>
              </w:rPr>
              <w:t>21</w:t>
            </w:r>
            <w:r w:rsidRPr="002939AF">
              <w:rPr>
                <w:rFonts w:ascii="Cambria" w:hAnsi="Cambria"/>
                <w:sz w:val="18"/>
                <w:szCs w:val="18"/>
                <w:vertAlign w:val="superscript"/>
              </w:rPr>
              <w:t>st</w:t>
            </w:r>
            <w:r>
              <w:rPr>
                <w:rFonts w:ascii="Cambria" w:hAnsi="Cambria"/>
                <w:sz w:val="18"/>
                <w:szCs w:val="18"/>
              </w:rPr>
              <w:t xml:space="preserve"> century</w:t>
            </w:r>
          </w:p>
          <w:p w14:paraId="737140D2" w14:textId="6F182D80" w:rsidR="00A5426A" w:rsidRPr="005A61E1" w:rsidRDefault="004D194B" w:rsidP="002939AF">
            <w:pPr>
              <w:jc w:val="both"/>
              <w:rPr>
                <w:rFonts w:ascii="Cambria" w:hAnsi="Cambria"/>
                <w:sz w:val="18"/>
                <w:szCs w:val="18"/>
              </w:rPr>
            </w:pPr>
            <w:r>
              <w:rPr>
                <w:rFonts w:ascii="Cambria" w:hAnsi="Cambria"/>
                <w:color w:val="000000" w:themeColor="text1"/>
                <w:sz w:val="18"/>
                <w:szCs w:val="22"/>
              </w:rPr>
              <w:t>T</w:t>
            </w:r>
            <w:r w:rsidRPr="00EB4B17">
              <w:rPr>
                <w:rFonts w:ascii="Cambria" w:hAnsi="Cambria"/>
                <w:color w:val="000000" w:themeColor="text1"/>
                <w:sz w:val="18"/>
                <w:szCs w:val="22"/>
              </w:rPr>
              <w:t>technological integration</w:t>
            </w: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148835E2" w:rsidR="00A01DAD" w:rsidRPr="00B107DB" w:rsidRDefault="002F6BE9" w:rsidP="00B107DB">
            <w:pPr>
              <w:ind w:left="374" w:hanging="374"/>
              <w:jc w:val="center"/>
              <w:rPr>
                <w:rFonts w:ascii="Cambria" w:hAnsi="Cambria"/>
                <w:b/>
                <w:bCs/>
                <w:iCs/>
                <w:sz w:val="28"/>
                <w:szCs w:val="28"/>
              </w:rPr>
            </w:pPr>
            <w:r>
              <w:rPr>
                <w:rFonts w:ascii="Cambria" w:hAnsi="Cambria"/>
                <w:b/>
                <w:iCs/>
                <w:sz w:val="18"/>
                <w:szCs w:val="18"/>
              </w:rPr>
              <w:t xml:space="preserve">To cite this article: </w:t>
            </w:r>
            <w:r w:rsidR="002939AF" w:rsidRPr="002939AF">
              <w:rPr>
                <w:rFonts w:ascii="Cambria" w:hAnsi="Cambria"/>
                <w:iCs/>
                <w:sz w:val="18"/>
                <w:szCs w:val="18"/>
              </w:rPr>
              <w:t>S</w:t>
            </w:r>
            <w:r w:rsidR="00BC1A11">
              <w:rPr>
                <w:rFonts w:ascii="Cambria" w:hAnsi="Cambria"/>
                <w:iCs/>
                <w:sz w:val="18"/>
                <w:szCs w:val="18"/>
              </w:rPr>
              <w:t xml:space="preserve">uherman </w:t>
            </w:r>
            <w:r w:rsidR="002939AF" w:rsidRPr="002939AF">
              <w:rPr>
                <w:rFonts w:ascii="Cambria" w:hAnsi="Cambria"/>
                <w:iCs/>
                <w:sz w:val="18"/>
                <w:szCs w:val="18"/>
              </w:rPr>
              <w:t>et all</w:t>
            </w:r>
            <w:r w:rsidR="00D118FD">
              <w:rPr>
                <w:rFonts w:ascii="Cambria" w:hAnsi="Cambria"/>
                <w:b/>
                <w:iCs/>
                <w:sz w:val="18"/>
                <w:szCs w:val="18"/>
              </w:rPr>
              <w:t xml:space="preserve">. </w:t>
            </w:r>
            <w:r w:rsidR="00D118FD">
              <w:rPr>
                <w:rFonts w:ascii="Cambria" w:hAnsi="Cambria"/>
                <w:iCs/>
                <w:sz w:val="18"/>
                <w:szCs w:val="18"/>
              </w:rPr>
              <w:t>(2021</w:t>
            </w:r>
            <w:r>
              <w:rPr>
                <w:rFonts w:ascii="Cambria" w:hAnsi="Cambria"/>
                <w:iCs/>
                <w:sz w:val="18"/>
                <w:szCs w:val="18"/>
              </w:rPr>
              <w:t xml:space="preserve">). </w:t>
            </w:r>
            <w:r w:rsidR="00B107DB" w:rsidRPr="00B107DB">
              <w:rPr>
                <w:rFonts w:ascii="Cambria" w:hAnsi="Cambria"/>
                <w:iCs/>
                <w:sz w:val="18"/>
                <w:szCs w:val="18"/>
              </w:rPr>
              <w:t>21st Century STEM Education: An Increase in Mathematical Critical Thinking Skills and Gender</w:t>
            </w:r>
            <w:r>
              <w:rPr>
                <w:rFonts w:ascii="Cambria" w:hAnsi="Cambria"/>
                <w:iCs/>
                <w:sz w:val="18"/>
                <w:szCs w:val="18"/>
              </w:rPr>
              <w:t xml:space="preserve">. </w:t>
            </w:r>
            <w:r w:rsidR="00F62987">
              <w:rPr>
                <w:rFonts w:ascii="Cambria" w:hAnsi="Cambria"/>
                <w:i/>
                <w:iCs/>
                <w:sz w:val="18"/>
                <w:szCs w:val="18"/>
              </w:rPr>
              <w:t>Journal of Advanced Sciences and Mathematics Education</w:t>
            </w:r>
            <w:r>
              <w:rPr>
                <w:rFonts w:ascii="Cambria" w:hAnsi="Cambria"/>
                <w:i/>
                <w:iCs/>
                <w:sz w:val="18"/>
                <w:szCs w:val="18"/>
              </w:rPr>
              <w:t>, X</w:t>
            </w:r>
            <w:r w:rsidRPr="002F6BE9">
              <w:rPr>
                <w:rFonts w:ascii="Cambria" w:hAnsi="Cambria"/>
                <w:iCs/>
                <w:sz w:val="18"/>
                <w:szCs w:val="18"/>
              </w:rPr>
              <w:t>(X), XX-XX</w:t>
            </w:r>
          </w:p>
        </w:tc>
      </w:tr>
    </w:tbl>
    <w:p w14:paraId="41C34312" w14:textId="31E890D7" w:rsidR="00A01DAD" w:rsidRPr="00913E00" w:rsidRDefault="00A01DAD" w:rsidP="00913E00">
      <w:pPr>
        <w:jc w:val="center"/>
        <w:rPr>
          <w:rFonts w:ascii="Cambria" w:hAnsi="Cambria"/>
          <w:sz w:val="18"/>
          <w:szCs w:val="22"/>
        </w:rPr>
      </w:pPr>
    </w:p>
    <w:p w14:paraId="082592C8" w14:textId="247CB84F" w:rsidR="00F42600" w:rsidRPr="00913E00" w:rsidRDefault="00F42600" w:rsidP="00913E00">
      <w:pPr>
        <w:rPr>
          <w:rFonts w:ascii="Cambria" w:hAnsi="Cambria"/>
          <w:color w:val="000000"/>
          <w:sz w:val="22"/>
          <w:szCs w:val="22"/>
          <w:lang w:val="fi-FI"/>
        </w:rPr>
      </w:pPr>
    </w:p>
    <w:p w14:paraId="458595D9" w14:textId="77777777" w:rsidR="00913E00" w:rsidRPr="00913E00" w:rsidRDefault="00913E00" w:rsidP="00913E00">
      <w:pPr>
        <w:rPr>
          <w:rFonts w:ascii="Cambria" w:hAnsi="Cambria"/>
          <w:color w:val="000000"/>
          <w:sz w:val="22"/>
          <w:szCs w:val="22"/>
          <w:lang w:val="fi-FI"/>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0B38F77F" w14:textId="75F0306B" w:rsidR="00496C0A" w:rsidRDefault="00496C0A" w:rsidP="00496C0A">
      <w:pPr>
        <w:autoSpaceDE w:val="0"/>
        <w:ind w:firstLine="567"/>
        <w:jc w:val="both"/>
        <w:rPr>
          <w:rFonts w:ascii="Cambria" w:hAnsi="Cambria"/>
          <w:bCs/>
          <w:color w:val="000000"/>
          <w:sz w:val="22"/>
          <w:szCs w:val="22"/>
        </w:rPr>
      </w:pPr>
      <w:r w:rsidRPr="00A21776">
        <w:rPr>
          <w:rFonts w:ascii="Cambria" w:hAnsi="Cambria"/>
          <w:bCs/>
          <w:color w:val="000000"/>
          <w:sz w:val="22"/>
          <w:szCs w:val="22"/>
        </w:rPr>
        <w:t xml:space="preserve">There is rapid development of science and technology, which gives rise to new demands in all life aspects, including the 21st century education system. </w:t>
      </w:r>
      <w:r w:rsidR="00750EF3">
        <w:rPr>
          <w:rFonts w:ascii="Cambria" w:hAnsi="Cambria"/>
          <w:bCs/>
          <w:color w:val="000000"/>
          <w:sz w:val="22"/>
          <w:szCs w:val="22"/>
        </w:rPr>
        <w:t xml:space="preserve">The integration of technology is appropriate in teaching and learning. </w:t>
      </w:r>
      <w:r w:rsidRPr="00A21776">
        <w:rPr>
          <w:rFonts w:ascii="Cambria" w:hAnsi="Cambria"/>
          <w:bCs/>
          <w:color w:val="000000"/>
          <w:sz w:val="22"/>
          <w:szCs w:val="22"/>
        </w:rPr>
        <w:t xml:space="preserve">The government has made various efforts to improve the quality of education, of which the 2013 curriculum is one </w:t>
      </w:r>
      <w:r w:rsidRPr="00A21776">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{"citationID":"WQyhYyjK","properties":{"formattedCitation":"(Syutharidho &amp; Rakhmawati, 2015)","plainCitation":"(Syutharidho &amp; Rakhmawati, 2015)","noteIndex":0},"citationItems":[{"id":"DvVQWWbP/MkF00Oqr","uris":["http://www.mendeley.com/documents/?uuid=a7e9237e-4248-41c9-9909-cd76d24268a4"],"uri":["http://www.mendeley.com/documents/?uuid=a7e9237e-4248-41c9-9909-cd76d24268a4"],"itemData":{"abstract":"Mempertimbangkan hal yang merupakan tujuan dari pembelajaran matematika yaitu berpikir kritis dan kreatif (Karso, 2005), maka dirasa perlu untuk mengembangkan soal berpikir krtis sebagai salah satu langkah membiasakan siswa untuk berpikir krtis dan menjadikan dasar berpikir bahwasanya seorang guru harus mendominasi soal matematika dengan tipe soal berpikir kritis sebagai langkah untuk menciptakan efektivitas dan kebermaknaan dalam proses pembelajaran. Penelitian ini bertujuan untuk menghasilkan soal berpikir kritis yang valid dan praktis kemudian untuk mengetahui efek potensial terhadap hasil belajar siswa. Fokus dari penelitian ini adalah pengembangan soal sesuai dengan prosedur development research yang melalui empat tahapan yaitu self evaluation, expert review dan one-to-one, small group, dan field test. Penelitian ini menghasilkan tiga prototipe. Prototipe pertama adalah hasil dari desain pada tahap self evaluation, kemudian hasil revisi dari uji expert review dan one-to-one dihasilkan prototipe kedua, dan hasil revisi dari kegiatan small group dinamakan prototipe ketiga dan dijadikan sebagai prototipe akhir. Pengumpulan data dilakukan dengan cara tes dan analisis dokumentasi jawaban siswa. Kata kunci: pengembangan soal, berpikir kritis.","author":[{"dropping-particle":"","family":"Syutharidho","given":"","non-dropping-particle":"","parse-names":false,"suffix":""},{"dropping-particle":"","family":"Rakhmawati","given":"Rosida","non-dropping-particle":"","parse-names":false,"suffix":""}],"container-title":"Al-Jabar: Jurnal Pendidikan Matematika","id":"ITEM-1","issue":"2","issued":{"date-parts":[["2015"]]},"page":"219-227","title":"Pengembangan Soal Berpikir Kritis Untuk Siswa Smp Kelas VIII","type":"article-journal","volume":"6"}}],"schema":"https://github.com/citation-style-language/schema/raw/master/csl-citation.json"} </w:instrText>
      </w:r>
      <w:r w:rsidRPr="00A21776">
        <w:rPr>
          <w:rFonts w:ascii="Cambria" w:hAnsi="Cambria"/>
          <w:color w:val="000000"/>
          <w:sz w:val="22"/>
          <w:szCs w:val="22"/>
        </w:rPr>
        <w:fldChar w:fldCharType="separate"/>
      </w:r>
      <w:r w:rsidRPr="00A21776">
        <w:rPr>
          <w:rFonts w:ascii="Cambria" w:hAnsi="Cambria"/>
          <w:sz w:val="22"/>
          <w:szCs w:val="22"/>
        </w:rPr>
        <w:t>(Syutharidho &amp; Rakhmawati, 2015)</w:t>
      </w:r>
      <w:r w:rsidRPr="00A21776">
        <w:rPr>
          <w:rFonts w:ascii="Cambria" w:hAnsi="Cambria"/>
          <w:color w:val="000000"/>
          <w:sz w:val="22"/>
          <w:szCs w:val="22"/>
        </w:rPr>
        <w:fldChar w:fldCharType="end"/>
      </w:r>
      <w:r w:rsidRPr="00A21776">
        <w:rPr>
          <w:rFonts w:ascii="Cambria" w:hAnsi="Cambria"/>
          <w:bCs/>
          <w:color w:val="000000"/>
          <w:sz w:val="22"/>
          <w:szCs w:val="22"/>
        </w:rPr>
        <w:t xml:space="preserve">. It is expected that multidisciplinary training, student focused, active and critical, interactive study and groups or teams will be achieved through the 2013 curriculum </w:t>
      </w:r>
      <w:r w:rsidRPr="00A21776">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{"citationID":"yZQXe6wU","properties":{"formattedCitation":"(Adlim et al., 2015)","plainCitation":"(Adlim et al., 2015)","noteIndex":0},"citationItems":[{"id":"DvVQWWbP/rXFQ95jG","uris":["http://www.mendeley.com/documents/?uuid=cdc65a51-75c9-4c73-9e71-471766debc52"],"uri":["http://www.mendeley.com/documents/?uuid=cdc65a51-75c9-4c73-9e71-471766debc52"],"itemData":{"author":[{"dropping-particle":"","family":"Adlim","given":"M.","non-dropping-particle":"","parse-names":false,"suffix":""},{"dropping-particle":"","family":"Saminan","given":"","non-dropping-particle":"","parse-names":false,"suffix":""},{"dropping-particle":"","family":"Ariestia","given":"Siska","non-dropping-particle":"","parse-names":false,"suffix":""}],"container-title":"Jurnal Pendidikan Sains Indonesia","id":"ITEM-1","issue":"2","issued":{"date-parts":[["2015"]]},"page":"112-121","title":"Pengembangan Modul STEM Terintegrasi Kewirausahaan untuk Meningkatkan Keterampilan Proses Sains di SMA Negeri 4 Banda Aceh","type":"article-journal","volume":"3"}}],"schema":"https://github.com/citation-style-language/schema/raw/master/csl-citation.json"} </w:instrText>
      </w:r>
      <w:r w:rsidRPr="00A21776">
        <w:rPr>
          <w:rFonts w:ascii="Cambria" w:hAnsi="Cambria"/>
          <w:color w:val="000000"/>
          <w:sz w:val="22"/>
          <w:szCs w:val="22"/>
        </w:rPr>
        <w:fldChar w:fldCharType="separate"/>
      </w:r>
      <w:r w:rsidRPr="00A21776">
        <w:rPr>
          <w:rFonts w:ascii="Cambria" w:hAnsi="Cambria"/>
          <w:sz w:val="22"/>
          <w:szCs w:val="22"/>
        </w:rPr>
        <w:t>(Adlim et al., 2015)</w:t>
      </w:r>
      <w:r w:rsidRPr="00A21776">
        <w:rPr>
          <w:rFonts w:ascii="Cambria" w:hAnsi="Cambria"/>
          <w:color w:val="000000"/>
          <w:sz w:val="22"/>
          <w:szCs w:val="22"/>
        </w:rPr>
        <w:fldChar w:fldCharType="end"/>
      </w:r>
      <w:r w:rsidRPr="00A21776">
        <w:rPr>
          <w:rFonts w:ascii="Cambria" w:hAnsi="Cambria"/>
          <w:bCs/>
          <w:color w:val="000000"/>
          <w:sz w:val="22"/>
          <w:szCs w:val="22"/>
        </w:rPr>
        <w:t xml:space="preserve">. Mathematics is one of the topics considered to be very important in the education world </w:t>
      </w:r>
      <w:r w:rsidRPr="00A21776">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{"citationID":"EShuWLyb","properties":{"formattedCitation":"(Lamote, 2017)","plainCitation":"(Lamote, 2017)","noteIndex":0},"citationItems":[{"id":"DvVQWWbP/XyGlDauf","uris":["http://www.mendeley.com/documents/?uuid=4af7f234-9413-410d-a1eb-ec85ed6f2adc"],"uri":["http://www.mendeley.com/documents/?uuid=4af7f234-9413-410d-a1eb-ec85ed6f2adc"],"itemData":{"author":[{"dropping-particle":"","family":"Lamote","given":"Hasrin","non-dropping-particle":"","parse-names":false,"suffix":""}],"container-title":"Jurnal Al-Ta’dib","id":"ITEM-1","issue":"1","issued":{"date-parts":[["2017"]]},"page":"55-72","title":"Kesulitan-kesulitan guru matematika dalam melaksanakan pembelajaran kurikulum 2013 di Madrasah Aliyah DDI Labibia","type":"article-journal","volume":"10"}}],"schema":"https://github.com/citation-style-language/schema/raw/master/csl-citation.json"} </w:instrText>
      </w:r>
      <w:r w:rsidRPr="00A21776">
        <w:rPr>
          <w:rFonts w:ascii="Cambria" w:hAnsi="Cambria"/>
          <w:color w:val="000000"/>
          <w:sz w:val="22"/>
          <w:szCs w:val="22"/>
        </w:rPr>
        <w:fldChar w:fldCharType="separate"/>
      </w:r>
      <w:r w:rsidRPr="00A21776">
        <w:rPr>
          <w:rFonts w:ascii="Cambria" w:hAnsi="Cambria"/>
          <w:sz w:val="22"/>
          <w:szCs w:val="22"/>
        </w:rPr>
        <w:t>(Lamote, 2017)</w:t>
      </w:r>
      <w:r w:rsidRPr="00A21776">
        <w:rPr>
          <w:rFonts w:ascii="Cambria" w:hAnsi="Cambria"/>
          <w:color w:val="000000"/>
          <w:sz w:val="22"/>
          <w:szCs w:val="22"/>
        </w:rPr>
        <w:fldChar w:fldCharType="end"/>
      </w:r>
      <w:r w:rsidRPr="00A21776">
        <w:rPr>
          <w:rFonts w:ascii="Cambria" w:hAnsi="Cambria"/>
          <w:bCs/>
          <w:color w:val="000000"/>
          <w:sz w:val="22"/>
          <w:szCs w:val="22"/>
        </w:rPr>
        <w:t xml:space="preserve">. The facts show that mathematics holds a high position in science because it underpins the ability to understand or think about students in other subjects. However, some students still believe that learning Mathematics is difficult </w:t>
      </w:r>
      <w:r w:rsidRPr="00A21776">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{"citationID":"nio5V283","properties":{"formattedCitation":"(Fadholi et al., 2015)","plainCitation":"(Fadholi et al., 2015)","noteIndex":0},"citationItems":[{"id":"DvVQWWbP/Am10y86d","uris":["http://www.mendeley.com/documents/?uuid=c9c6218e-bbe2-4e92-9e8c-060a3ed7d44c"],"uri":["http://www.mendeley.com/documents/?uuid=c9c6218e-bbe2-4e92-9e8c-060a3ed7d44c"],"itemData":{"ISSN":"2252-6455","abstract":"Pembelajaran matematika dengan berbagai pendekatan yang digunakan akan menjadikan hasil dari belajar matematika siswa baik dan tidak membosankan. Tujuan dari penelitian ini adalah untuk memperoleh deskripsi tentang pembelajaran matematika yang ditinjau dengan pendekatan humanistik dan konstruktivisme, serta kemampuan literasi matematika dan karakter mandiri dan tanggung jawab siswa SMK Negeri 1 Jepara. Penelitian ini merupakan jenis penelitian kualitatif. Pendekatan penelitian yang digunakan adalah pendekatan deskriptif. Pengumpulan data dilakukan dengan wawancara mendalam, observasi partisipasi, dan dokumentasi. Sumber data adalah guru matematika, siswa, dan waka kurikulum. Hasil penelitian ini didapatkan rata-rata keterpenuhan indikator pada perangkat pembelajaran yang ditelaah dengan pendekatan humanistik 45,10% dan pendekatan konstruktivisme 37,63%. Perangkat pembelajaran yang digunakan oleh semua guru matematika di SMK Negeri 1 Jepara sama. Rata-rata persentase proses pembelajaran guru ditinjau dengan pendekatan humanistik 63% dan konstruktivisme 57%. Rata-rata persentase proses pembelajaran siswa ditinjau dengan pendekatan humanistik 65,5% dan konstruktivisme 52,5%. Proses pembelajaran matematika di SMK Negeri 1 Jepara cukup sesuai dengan pendekatan humanistik dan konstruktivisme. Kemampuan literasi matematika siswa kelas XI SMK Negeri 1 Jepara masih kurang. Penelitian ini menunjukkan bahwa karakter mandiri dan tanggung jawab siswa kelas XI cukup baik. Abstract","author":[{"dropping-particle":"","family":"Fadholi","given":"Taufik","non-dropping-particle":"","parse-names":false,"suffix":""},{"dropping-particle":"","family":"Waluya","given":"Budi","non-dropping-particle":"","parse-names":false,"suffix":""},{"dropping-particle":"","family":"Mulyono","given":"","non-dropping-particle":"","parse-names":false,"suffix":""}],"container-title":"Unnes Journal of Mathematics Education Research","id":"ITEM-1","issue":"1","issued":{"date-parts":[["2015"]]},"page":"42-48","title":"Analisis pembelajaran Matematika dan kemampuan literasi serta karakter siswa SMK","type":"article-journal","volume":"4"}}],"schema":"https://github.com/citation-style-language/schema/raw/master/csl-citation.json"} </w:instrText>
      </w:r>
      <w:r w:rsidRPr="00A21776">
        <w:rPr>
          <w:rFonts w:ascii="Cambria" w:hAnsi="Cambria"/>
          <w:color w:val="000000"/>
          <w:sz w:val="22"/>
          <w:szCs w:val="22"/>
        </w:rPr>
        <w:fldChar w:fldCharType="separate"/>
      </w:r>
      <w:r w:rsidRPr="00A21776">
        <w:rPr>
          <w:rFonts w:ascii="Cambria" w:hAnsi="Cambria"/>
          <w:sz w:val="22"/>
          <w:szCs w:val="22"/>
        </w:rPr>
        <w:t>(Fadholi et al., 2015)</w:t>
      </w:r>
      <w:r w:rsidRPr="00A21776">
        <w:rPr>
          <w:rFonts w:ascii="Cambria" w:hAnsi="Cambria"/>
          <w:color w:val="000000"/>
          <w:sz w:val="22"/>
          <w:szCs w:val="22"/>
        </w:rPr>
        <w:fldChar w:fldCharType="end"/>
      </w:r>
      <w:r w:rsidRPr="00A21776">
        <w:rPr>
          <w:rFonts w:ascii="Cambria" w:hAnsi="Cambria"/>
          <w:bCs/>
          <w:color w:val="000000"/>
          <w:sz w:val="22"/>
          <w:szCs w:val="22"/>
        </w:rPr>
        <w:t xml:space="preserve">. Students are more likely to show interest in learning and low </w:t>
      </w:r>
      <w:r w:rsidRPr="003A254F">
        <w:rPr>
          <w:rFonts w:ascii="Cambria" w:hAnsi="Cambria"/>
          <w:bCs/>
          <w:color w:val="000000"/>
          <w:sz w:val="22"/>
          <w:szCs w:val="22"/>
        </w:rPr>
        <w:t xml:space="preserve">performance motivation when learning subjects that are considered difficult </w:t>
      </w:r>
      <w:r w:rsidRPr="003A254F">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{"citationID":"otgZjkFY","properties":{"formattedCitation":"(Suherman, 2015)","plainCitation":"(Suherman, 2015)","noteIndex":0},"citationItems":[{"id":"DvVQWWbP/Oz4zKyxG","uris":["http://www.mendeley.com/documents/?uuid=f8200642-b8db-414c-8148-132aca412f93"],"uri":["http://www.mendeley.com/documents/?uuid=f8200642-b8db-414c-8148-132aca412f93"],"itemData":{"author":[{"dropping-particle":"","family":"Suherman","given":"","non-dropping-particle":"","parse-names":false,"suffix":""}],"container-title":"Al-Jabar: Jurnal Pendidikan Matematika","id":"ITEM-1","issue":"1","issued":{"date-parts":[["2015"]]},"page":"81-90","title":"Kreativitas Siswa Dalam Memecahkan Masalah Matematika Materi Pola Bilangan dengan Pendekatan Matematika Realistik (PMR)","type":"article-journal","volume":"6"}}],"schema":"https://github.com/citation-style-language/schema/raw/master/csl-citation.json"} </w:instrText>
      </w:r>
      <w:r w:rsidRPr="003A254F">
        <w:rPr>
          <w:rFonts w:ascii="Cambria" w:hAnsi="Cambria"/>
          <w:color w:val="000000"/>
          <w:sz w:val="22"/>
          <w:szCs w:val="22"/>
        </w:rPr>
        <w:fldChar w:fldCharType="separate"/>
      </w:r>
      <w:r w:rsidRPr="003A254F">
        <w:rPr>
          <w:rFonts w:ascii="Cambria" w:hAnsi="Cambria"/>
          <w:sz w:val="22"/>
          <w:szCs w:val="22"/>
        </w:rPr>
        <w:t>(Suherman, 2015)</w:t>
      </w:r>
      <w:r w:rsidRPr="003A254F">
        <w:rPr>
          <w:rFonts w:ascii="Cambria" w:hAnsi="Cambria"/>
          <w:color w:val="000000"/>
          <w:sz w:val="22"/>
          <w:szCs w:val="22"/>
        </w:rPr>
        <w:fldChar w:fldCharType="end"/>
      </w:r>
      <w:r w:rsidR="0035076D">
        <w:rPr>
          <w:rFonts w:ascii="Cambria" w:hAnsi="Cambria"/>
          <w:bCs/>
          <w:color w:val="000000"/>
          <w:sz w:val="22"/>
          <w:szCs w:val="22"/>
        </w:rPr>
        <w:t xml:space="preserve">. </w:t>
      </w:r>
      <w:r w:rsidRPr="003A254F">
        <w:rPr>
          <w:rFonts w:ascii="Cambria" w:hAnsi="Cambria"/>
          <w:bCs/>
          <w:color w:val="000000"/>
          <w:sz w:val="22"/>
          <w:szCs w:val="22"/>
        </w:rPr>
        <w:t>Given</w:t>
      </w:r>
      <w:r w:rsidRPr="00A21776">
        <w:rPr>
          <w:rFonts w:ascii="Cambria" w:hAnsi="Cambria"/>
          <w:bCs/>
          <w:color w:val="000000"/>
          <w:sz w:val="22"/>
          <w:szCs w:val="22"/>
        </w:rPr>
        <w:t xml:space="preserve"> the importance of mathematics, it is hoped that a teacher's role in determining learning approaches that can change students' mindsets and views about mathematics will be expanded </w:t>
      </w:r>
      <w:r w:rsidRPr="00A21776">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{"citationID":"xKBx6350","properties":{"formattedCitation":"(Abdullah et al., 2016; Komarudin et al., 2020; Suherman et al., 2018)","plainCitation":"(Abdullah et al., 2016; Komarudin et al., 2020; Suherman et al., 2018)","noteIndex":0},"citationItems":[{"id":"DvVQWWbP/UQJxLp7e","uris":["http://zotero.org/users/local/ndX0FRyc/items/S6AIKLW8"],"uri":["http://zotero.org/users/local/ndX0FRyc/items/S6AIKLW8"],"itemData":{"id":611,"type":"article-journal","container-title":"Eurasia Journal of Mathematics, Science and Technology Education","issue":"1","note":"ISBN: 1305-8215\npublisher: Modestum LTD","page":"3-17","title":"Mathematics teachers’ level of knowledge and practice on the implementation of higher-order thinking skills (HOTS)","volume":"13","author":[{"family":"Abdullah","given":"Abdul Halim"},{"family":"Mokhtar","given":"Mahani"},{"family":"Abd Halim","given":"Noor Dayana"},{"family":"Ali","given":"Dayana Farzeeha"},{"family":"Tahir","given":"Lokman Mohd"},{"family":"Kohar","given":"Umar Haiyat Abdul"}],"issued":{"date-parts":[["2016"]]}}},{"id":"DvVQWWbP/jmGEW96w","uris":["http://zotero.org/users/local/ndX0FRyc/items/IUTA7F6Z"],"uri":["http://zotero.org/users/local/ndX0FRyc/items/IUTA7F6Z"],"itemData":{"id":458,"type":"article-journal","container-title":"Eduma: Mathematics Education Learning and Teaching","issue":"2","note":"ISBN: 2502-5309","page":"80-88","title":"The Effect of Algebra Finger-Based Brain Gym Method to Improve Student Learning Outcomes","volume":"8","author":[{"family":"Komarudin","given":"Komarudin"},{"family":"Rosmawati","given":"Novi"},{"family":"Suherman","given":"Suherman"}],"issued":{"date-parts":[["2020"]]}}},{"id":"DvVQWWbP/00uZFGlg","uris":["http://zotero.org/users/local/ndX0FRyc/items/4JRAXR7I"],"uri":["http://zotero.org/users/local/ndX0FRyc/items/4JRAXR7I"],"itemData":{"id":463,"type":"paper-conference","container-title":"International Conference On Multidisciplinary Academic (ICMA)","title":"Improving Trigonometry Concept Through STEM (Science, Technology, Engineering, and Mathematics) Learning","author":[{"family":"Suherman","given":"Suherman"},{"family":"Komarudin","given":"Komarudin"},{"family":"Rosyid","given":"Abdul"},{"family":"Aryanita","given":"Sinta"},{"family":"Asriyanto","given":"Doni"},{"family":"Aradika Putra","given":"Thofan"},{"family":"Anggoro","given":"Tri"}],"issued":{"date-parts":[["2018"]]}}}],"schema":"https://github.com/citation-style-language/schema/raw/master/csl-citation.json"} </w:instrText>
      </w:r>
      <w:r w:rsidRPr="00A21776">
        <w:rPr>
          <w:rFonts w:ascii="Cambria" w:hAnsi="Cambria"/>
          <w:color w:val="000000"/>
          <w:sz w:val="22"/>
          <w:szCs w:val="22"/>
        </w:rPr>
        <w:fldChar w:fldCharType="separate"/>
      </w:r>
      <w:r w:rsidRPr="00A21776">
        <w:rPr>
          <w:rFonts w:ascii="Cambria" w:hAnsi="Cambria"/>
          <w:sz w:val="22"/>
          <w:szCs w:val="22"/>
        </w:rPr>
        <w:t>(Abdullah et al., 2016; Komarudin et al., 2020; Suherman et al., 2018)</w:t>
      </w:r>
      <w:r w:rsidRPr="00A21776">
        <w:rPr>
          <w:rFonts w:ascii="Cambria" w:hAnsi="Cambria"/>
          <w:color w:val="000000"/>
          <w:sz w:val="22"/>
          <w:szCs w:val="22"/>
        </w:rPr>
        <w:fldChar w:fldCharType="end"/>
      </w:r>
      <w:r w:rsidRPr="00A21776">
        <w:rPr>
          <w:rFonts w:ascii="Cambria" w:hAnsi="Cambria"/>
          <w:bCs/>
          <w:color w:val="000000"/>
          <w:sz w:val="22"/>
          <w:szCs w:val="22"/>
        </w:rPr>
        <w:t>, students are hoped to show great mathematical interest and be able to develop creativity and achievement of learning (Saparwadi, 2016).</w:t>
      </w:r>
    </w:p>
    <w:p w14:paraId="7A40C9D2" w14:textId="15F14EC9" w:rsidR="00912348" w:rsidRDefault="00912348" w:rsidP="00496C0A">
      <w:pPr>
        <w:autoSpaceDE w:val="0"/>
        <w:ind w:firstLine="567"/>
        <w:jc w:val="both"/>
        <w:rPr>
          <w:rFonts w:ascii="Cambria" w:hAnsi="Cambria"/>
          <w:bCs/>
          <w:color w:val="000000"/>
          <w:sz w:val="22"/>
          <w:szCs w:val="22"/>
        </w:rPr>
      </w:pPr>
      <w:r w:rsidRPr="00912348">
        <w:rPr>
          <w:rFonts w:ascii="Cambria" w:hAnsi="Cambria"/>
          <w:bCs/>
          <w:color w:val="000000"/>
          <w:sz w:val="22"/>
          <w:szCs w:val="22"/>
        </w:rPr>
        <w:lastRenderedPageBreak/>
        <w:t>On the other hand, the positive impact on social life that Information and Communication Technologies (ICT) have had represents a unique opportunity for educational development, as these technologies facilitate and provide meaningful learning opportunities through technological resources.</w:t>
      </w:r>
      <w:r w:rsidR="00746718">
        <w:rPr>
          <w:rFonts w:ascii="Cambria" w:hAnsi="Cambria"/>
          <w:bCs/>
          <w:color w:val="000000"/>
          <w:sz w:val="22"/>
          <w:szCs w:val="22"/>
        </w:rPr>
        <w:t xml:space="preserve"> </w:t>
      </w:r>
      <w:r w:rsidR="00746718">
        <w:rPr>
          <w:rFonts w:ascii="Cambria" w:hAnsi="Cambria"/>
          <w:bCs/>
          <w:color w:val="000000"/>
          <w:sz w:val="22"/>
          <w:szCs w:val="22"/>
        </w:rPr>
        <w:fldChar w:fldCharType="begin"/>
      </w:r>
      <w:r w:rsidR="00746718">
        <w:rPr>
          <w:rFonts w:ascii="Cambria" w:hAnsi="Cambria"/>
          <w:bCs/>
          <w:color w:val="000000"/>
          <w:sz w:val="22"/>
          <w:szCs w:val="22"/>
        </w:rPr>
        <w:instrText xml:space="preserve"> ADDIN ZOTERO_ITEM CSL_CITATION {"citationID":"w0sb7zCe","properties":{"formattedCitation":"(Nicolete et al., 2017)","plainCitation":"(Nicolete et al., 2017)","noteIndex":0},"citationItems":[{"id":1543,"uris":["http://zotero.org/users/4795968/items/FH3FD7X5"],"uri":["http://zotero.org/users/4795968/items/FH3FD7X5"],"itemData":{"id":1543,"type":"article-journal","container-title":"Revista de Educación a Distancia (RED)","issue":"52","source":"Google Scholar","title":"Technology Integration Actions in Mathematics teaching in Brazilian Basic Education: Stimulating STEM disciplines","title-short":"Technology Integration Actions in Mathematics teaching in Brazilian Basic Education","author":[{"family":"Nicolete","given":"Priscila Cadorin"},{"family":"Bilessimo","given":"Simone Meister Sommer"},{"family":"Silva Cristiano","given":"Marta Adriana","non-dropping-particle":"da"},{"family":"Simão","given":"José Pedro Schardosim"},{"family":"Silva","given":"Juarez Bento","non-dropping-particle":"da"}],"issued":{"date-parts":[["2017"]]}}}],"schema":"https://github.com/citation-style-language/schema/raw/master/csl-citation.json"} </w:instrText>
      </w:r>
      <w:r w:rsidR="00746718">
        <w:rPr>
          <w:rFonts w:ascii="Cambria" w:hAnsi="Cambria"/>
          <w:bCs/>
          <w:color w:val="000000"/>
          <w:sz w:val="22"/>
          <w:szCs w:val="22"/>
        </w:rPr>
        <w:fldChar w:fldCharType="separate"/>
      </w:r>
      <w:r w:rsidR="00746718" w:rsidRPr="00746718">
        <w:rPr>
          <w:rFonts w:ascii="Cambria" w:hAnsi="Cambria"/>
          <w:sz w:val="22"/>
        </w:rPr>
        <w:t xml:space="preserve">Nicolete et al., </w:t>
      </w:r>
      <w:r w:rsidR="00746718">
        <w:rPr>
          <w:rFonts w:ascii="Cambria" w:hAnsi="Cambria"/>
          <w:sz w:val="22"/>
        </w:rPr>
        <w:t>(</w:t>
      </w:r>
      <w:r w:rsidR="00746718" w:rsidRPr="00746718">
        <w:rPr>
          <w:rFonts w:ascii="Cambria" w:hAnsi="Cambria"/>
          <w:sz w:val="22"/>
        </w:rPr>
        <w:t>2017)</w:t>
      </w:r>
      <w:r w:rsidR="00746718">
        <w:rPr>
          <w:rFonts w:ascii="Cambria" w:hAnsi="Cambria"/>
          <w:bCs/>
          <w:color w:val="000000"/>
          <w:sz w:val="22"/>
          <w:szCs w:val="22"/>
        </w:rPr>
        <w:fldChar w:fldCharType="end"/>
      </w:r>
      <w:r w:rsidRPr="00912348">
        <w:rPr>
          <w:rFonts w:ascii="Cambria" w:hAnsi="Cambria"/>
          <w:bCs/>
          <w:color w:val="000000"/>
          <w:sz w:val="22"/>
          <w:szCs w:val="22"/>
        </w:rPr>
        <w:t>, in support of this statement, asserts that mathematical abilities are genetically imprinted in our brains and recommends that mathematics be taught using models that include the development of intuitive reasoning, the manipulation of materials, and activities that are fun and engaging. In order to alleviate the current situation, one possibility is to encourage teachers and schools to incorporate more interactivity and exciting ICT technologies into math classes, exploring playful digital resources such as educational games, simulators, videos, and images in order to support the teaching and learning of mathematics and other applied sciences in classrooms across the country</w:t>
      </w:r>
      <w:r w:rsidR="0057157D">
        <w:rPr>
          <w:rFonts w:ascii="Cambria" w:hAnsi="Cambria"/>
          <w:bCs/>
          <w:color w:val="000000"/>
          <w:sz w:val="22"/>
          <w:szCs w:val="22"/>
        </w:rPr>
        <w:t xml:space="preserve"> </w:t>
      </w:r>
      <w:r w:rsidR="0057157D">
        <w:rPr>
          <w:rFonts w:ascii="Cambria" w:hAnsi="Cambria"/>
          <w:bCs/>
          <w:color w:val="000000"/>
          <w:sz w:val="22"/>
          <w:szCs w:val="22"/>
        </w:rPr>
        <w:fldChar w:fldCharType="begin"/>
      </w:r>
      <w:r w:rsidR="0057157D">
        <w:rPr>
          <w:rFonts w:ascii="Cambria" w:hAnsi="Cambria"/>
          <w:bCs/>
          <w:color w:val="000000"/>
          <w:sz w:val="22"/>
          <w:szCs w:val="22"/>
        </w:rPr>
        <w:instrText xml:space="preserve"> ADDIN ZOTERO_ITEM CSL_CITATION {"citationID":"4DfpEqRH","properties":{"formattedCitation":"(Nicolete et al., 2017)","plainCitation":"(Nicolete et al., 2017)","noteIndex":0},"citationItems":[{"id":1543,"uris":["http://zotero.org/users/4795968/items/FH3FD7X5"],"uri":["http://zotero.org/users/4795968/items/FH3FD7X5"],"itemData":{"id":1543,"type":"article-journal","container-title":"Revista de Educación a Distancia (RED)","issue":"52","source":"Google Scholar","title":"Technology Integration Actions in Mathematics teaching in Brazilian Basic Education: Stimulating STEM disciplines","title-short":"Technology Integration Actions in Mathematics teaching in Brazilian Basic Education","author":[{"family":"Nicolete","given":"Priscila Cadorin"},{"family":"Bilessimo","given":"Simone Meister Sommer"},{"family":"Silva Cristiano","given":"Marta Adriana","non-dropping-particle":"da"},{"family":"Simão","given":"José Pedro Schardosim"},{"family":"Silva","given":"Juarez Bento","non-dropping-particle":"da"}],"issued":{"date-parts":[["2017"]]}}}],"schema":"https://github.com/citation-style-language/schema/raw/master/csl-citation.json"} </w:instrText>
      </w:r>
      <w:r w:rsidR="0057157D">
        <w:rPr>
          <w:rFonts w:ascii="Cambria" w:hAnsi="Cambria"/>
          <w:bCs/>
          <w:color w:val="000000"/>
          <w:sz w:val="22"/>
          <w:szCs w:val="22"/>
        </w:rPr>
        <w:fldChar w:fldCharType="separate"/>
      </w:r>
      <w:r w:rsidR="0057157D" w:rsidRPr="00131151">
        <w:rPr>
          <w:rFonts w:ascii="Cambria" w:hAnsi="Cambria"/>
          <w:sz w:val="22"/>
        </w:rPr>
        <w:t>(Nicolete et al., 2017)</w:t>
      </w:r>
      <w:r w:rsidR="0057157D">
        <w:rPr>
          <w:rFonts w:ascii="Cambria" w:hAnsi="Cambria"/>
          <w:bCs/>
          <w:color w:val="000000"/>
          <w:sz w:val="22"/>
          <w:szCs w:val="22"/>
        </w:rPr>
        <w:fldChar w:fldCharType="end"/>
      </w:r>
      <w:r w:rsidRPr="00912348">
        <w:rPr>
          <w:rFonts w:ascii="Cambria" w:hAnsi="Cambria"/>
          <w:bCs/>
          <w:color w:val="000000"/>
          <w:sz w:val="22"/>
          <w:szCs w:val="22"/>
        </w:rPr>
        <w:t>.</w:t>
      </w:r>
    </w:p>
    <w:p w14:paraId="6249D43D" w14:textId="3ED6F301" w:rsidR="00331F01" w:rsidRDefault="00331F01" w:rsidP="00331F01">
      <w:pPr>
        <w:autoSpaceDE w:val="0"/>
        <w:ind w:firstLine="567"/>
        <w:jc w:val="both"/>
        <w:rPr>
          <w:rFonts w:ascii="Cambria" w:hAnsi="Cambria"/>
          <w:color w:val="000000"/>
          <w:sz w:val="22"/>
          <w:szCs w:val="22"/>
        </w:rPr>
      </w:pPr>
      <w:r w:rsidRPr="00331F01">
        <w:rPr>
          <w:rFonts w:ascii="Cambria" w:hAnsi="Cambria"/>
          <w:bCs/>
          <w:color w:val="000000"/>
          <w:sz w:val="22"/>
          <w:szCs w:val="22"/>
        </w:rPr>
        <w:t xml:space="preserve">Mathematics is a science which has systems that range from simple concepts to very complex concepts </w:t>
      </w:r>
      <w:r w:rsidRPr="00331F01">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{"citationID":"YhweGnuG","properties":{"formattedCitation":"(Andriani et al., 2019; Depaepe et al., 2013; Syabrina Sarmi, 2019)","plainCitation":"(Andriani et al., 2019; Depaepe et al., 2013; Syabrina Sarmi, 2019)","noteIndex":0},"citationItems":[{"id":"DvVQWWbP/Jp066AxY","uris":["http://zotero.org/users/local/ndX0FRyc/items/7EBBHDQF"],"uri":["http://zotero.org/users/local/ndX0FRyc/items/7EBBHDQF"],"itemData":{"id":96,"type":"paper-conference","container-title":"Journal of Physics: Conference Series","ISBN":"1742-6596","page":"012017","publisher":"IOP Publishing","title":"The Application of Differential Equation of Verhulst Population Model on Estimation of Bandar Lampung Population","volume":"1155","author":[{"family":"Andriani","given":"S."},{"family":"Suyitno","given":"H."},{"family":"Junaidi","given":"I."},{"family":"Suherman","given":"Suherman"},{"family":"Mujib","given":"Mujib"},{"family":"Mardiyah","given":"Mardiyah"}],"issued":{"date-parts":[["2019"]]}}},{"id":"DvVQWWbP/tKCsleJA","uris":["http://zotero.org/users/local/ndX0FRyc/items/Z89T28BQ"],"uri":["http://zotero.org/users/local/ndX0FRyc/items/Z89T28BQ"],"itemData":{"id":612,"type":"article-journal","container-title":"Teaching and teacher education","note":"ISBN: 0742-051X\npublisher: Elsevier","page":"12-25","title":"Pedagogical content knowledge: A systematic review of the way in which the concept has pervaded mathematics educational research","volume":"34","author":[{"family":"Depaepe","given":"Fien"},{"family":"Verschaffel","given":"Lieven"},{"family":"Kelchtermans","given":"Geert"}],"issued":{"date-parts":[["2013"]]}}},{"id":"DvVQWWbP/951URsWt","uris":["http://zotero.org/users/local/ndX0FRyc/items/ERMCW6CW"],"uri":["http://zotero.org/users/local/ndX0FRyc/items/ERMCW6CW"],"itemData":{"id":613,"type":"paper-conference","container-title":"Journal of Physics Conference Series","ISBN":"1742-6588","note":"issue: 1","title":"Learning media analysis in the development of integrated science teacher book with theme the energy in the life using type integrated of 21st century learning","volume":"1185","author":[{"family":"Syabrina Sarmi","given":"Rahima"}],"issued":{"date-parts":[["2019"]]}}}],"schema":"https://github.com/citation-style-language/schema/raw/master/csl-citation.json"} </w:instrText>
      </w:r>
      <w:r w:rsidRPr="00331F01">
        <w:rPr>
          <w:rFonts w:ascii="Cambria" w:hAnsi="Cambria"/>
          <w:color w:val="000000"/>
          <w:sz w:val="22"/>
          <w:szCs w:val="22"/>
        </w:rPr>
        <w:fldChar w:fldCharType="separate"/>
      </w:r>
      <w:r w:rsidRPr="00331F01">
        <w:rPr>
          <w:rFonts w:ascii="Cambria" w:hAnsi="Cambria"/>
          <w:sz w:val="22"/>
          <w:szCs w:val="22"/>
        </w:rPr>
        <w:t>(Andriani et al., 2019; Depaepe et al., 2013; Syabrina Sarmi, 2019)</w:t>
      </w:r>
      <w:r w:rsidRPr="00331F01">
        <w:rPr>
          <w:rFonts w:ascii="Cambria" w:hAnsi="Cambria"/>
          <w:color w:val="000000"/>
          <w:sz w:val="22"/>
          <w:szCs w:val="22"/>
        </w:rPr>
        <w:fldChar w:fldCharType="end"/>
      </w:r>
      <w:r w:rsidRPr="00331F01">
        <w:rPr>
          <w:rFonts w:ascii="Cambria" w:hAnsi="Cambria"/>
          <w:bCs/>
          <w:color w:val="000000"/>
          <w:sz w:val="22"/>
          <w:szCs w:val="22"/>
        </w:rPr>
        <w:t xml:space="preserve">. The concept should appear in the learning process. The ability to think critically is an important skill in learning mathematics </w:t>
      </w:r>
      <w:r w:rsidRPr="00331F01">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{"citationID":"LI0nVlce","properties":{"formattedCitation":"(Mujib, 2015; Setiawan, 2016; Suherman &amp; Diana, 2019)","plainCitation":"(Mujib, 2015; Setiawan, 2016; Suherman &amp; Diana, 2019)","noteIndex":0},"citationItems":[{"id":"DvVQWWbP/ucG68eKx","uris":["http://zotero.org/users/local/ndX0FRyc/items/RYD3IWBI"],"uri":["http://zotero.org/users/local/ndX0FRyc/items/RYD3IWBI"],"itemData":{"id":616,"type":"article-journal","container-title":"Al-Jabar: Jurnal Pendidikan Matematika","issue":"1","note":"ISBN: 2540-7562","page":"53-62","title":"Membangun kreativitas siswa dengan teori schoenfeld pada pembelajaran matematika melalui lesson study","volume":"6","author":[{"family":"Mujib","given":"Mujib"}],"issued":{"date-parts":[["2015"]]}}},{"id":"DvVQWWbP/0qM14JdV","uris":["http://zotero.org/users/local/ndX0FRyc/items/Q3XTEELI"],"uri":["http://zotero.org/users/local/ndX0FRyc/items/Q3XTEELI"],"itemData":{"id":618,"type":"article-journal","container-title":"Al-Jabar: Jurnal Pendidikan Matematika","issue":"1","note":"ISBN: 2540-7562","page":"91-100","title":"Hubungan Kausal Penalaran Matematis terhadap Prestasi Belajar Matematika pada Materi Bangun Ruang Sisi Datar ditinjau dari Motivasi Belajar Matematika Siswa","volume":"7","author":[{"family":"Setiawan","given":"Agus"}],"issued":{"date-parts":[["2016"]]}}},{"id":"DvVQWWbP/BO0MZs5Z","uris":["http://zotero.org/users/local/ndX0FRyc/items/YWDRBUNM"],"uri":["http://zotero.org/users/local/ndX0FRyc/items/YWDRBUNM"],"itemData":{"id":614,"type":"article-journal","container-title":"Edu Sains: Jurnal Pendidikan Sains dan Matematika","issue":"2","note":"ISBN: 2580-3247","page":"31-42","title":"Pemahaman Konsep Matematis Peserta Didik Melalui Model Pembelajaran Tari Bambu Dipadukan Dengan CRH","volume":"7","author":[{"family":"Suherman","given":"Suherman"},{"family":"Diana","given":"Nirva"}],"issued":{"date-parts":[["2019"]]}}}],"schema":"https://github.com/citation-style-language/schema/raw/master/csl-citation.json"} </w:instrText>
      </w:r>
      <w:r w:rsidRPr="00331F01">
        <w:rPr>
          <w:rFonts w:ascii="Cambria" w:hAnsi="Cambria"/>
          <w:color w:val="000000"/>
          <w:sz w:val="22"/>
          <w:szCs w:val="22"/>
        </w:rPr>
        <w:fldChar w:fldCharType="separate"/>
      </w:r>
      <w:r w:rsidRPr="00331F01">
        <w:rPr>
          <w:rFonts w:ascii="Cambria" w:hAnsi="Cambria"/>
          <w:sz w:val="22"/>
          <w:szCs w:val="22"/>
        </w:rPr>
        <w:t>(Mujib, 2015; Setiawan, 2016; Suherman &amp; Diana, 2019)</w:t>
      </w:r>
      <w:r w:rsidRPr="00331F01">
        <w:rPr>
          <w:rFonts w:ascii="Cambria" w:hAnsi="Cambria"/>
          <w:color w:val="000000"/>
          <w:sz w:val="22"/>
          <w:szCs w:val="22"/>
        </w:rPr>
        <w:fldChar w:fldCharType="end"/>
      </w:r>
      <w:r w:rsidRPr="00331F01">
        <w:rPr>
          <w:rFonts w:ascii="Cambria" w:hAnsi="Cambria"/>
          <w:color w:val="000000" w:themeColor="text1"/>
          <w:sz w:val="22"/>
          <w:szCs w:val="22"/>
        </w:rPr>
        <w:t xml:space="preserve">. </w:t>
      </w:r>
      <w:r w:rsidRPr="00331F01">
        <w:rPr>
          <w:rFonts w:ascii="Cambria" w:hAnsi="Cambria"/>
          <w:bCs/>
          <w:color w:val="000000"/>
          <w:sz w:val="22"/>
          <w:szCs w:val="22"/>
        </w:rPr>
        <w:t xml:space="preserve">Students are also helped to develop other skills through creative thinking like problem solving </w:t>
      </w:r>
      <w:r w:rsidRPr="00331F01">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{"citationID":"yEOZ7hWF","properties":{"formattedCitation":"(Mahmuzah, 2015)","plainCitation":"(Mahmuzah, 2015)","noteIndex":0},"citationItems":[{"id":"DvVQWWbP/HL4eLtm6","uris":["http://zotero.org/users/local/ndX0FRyc/items/D5H39QAY"],"uri":["http://zotero.org/users/local/ndX0FRyc/items/D5H39QAY"],"itemData":{"id":619,"type":"article-journal","container-title":"Jurnal peluang","issue":"1","note":"ISBN: 2685-1539","title":"Peningkatan Kemampuan Berpikir Kritis Matematis Siswa SMP Melalui Pendekatan Problem Posing","volume":"4","author":[{"family":"Mahmuzah","given":"Rifaatul"}],"issued":{"date-parts":[["2015"]]}}}],"schema":"https://github.com/citation-style-language/schema/raw/master/csl-citation.json"} </w:instrText>
      </w:r>
      <w:r w:rsidRPr="00331F01">
        <w:rPr>
          <w:rFonts w:ascii="Cambria" w:hAnsi="Cambria"/>
          <w:color w:val="000000"/>
          <w:sz w:val="22"/>
          <w:szCs w:val="22"/>
        </w:rPr>
        <w:fldChar w:fldCharType="separate"/>
      </w:r>
      <w:r w:rsidRPr="00331F01">
        <w:rPr>
          <w:rFonts w:ascii="Cambria" w:hAnsi="Cambria"/>
          <w:sz w:val="22"/>
          <w:szCs w:val="22"/>
        </w:rPr>
        <w:t>(Mahmuzah, 2015)</w:t>
      </w:r>
      <w:r w:rsidRPr="00331F01">
        <w:rPr>
          <w:rFonts w:ascii="Cambria" w:hAnsi="Cambria"/>
          <w:color w:val="000000"/>
          <w:sz w:val="22"/>
          <w:szCs w:val="22"/>
        </w:rPr>
        <w:fldChar w:fldCharType="end"/>
      </w:r>
      <w:r w:rsidRPr="00331F01">
        <w:rPr>
          <w:rFonts w:ascii="Cambria" w:hAnsi="Cambria"/>
          <w:color w:val="000000" w:themeColor="text1"/>
          <w:sz w:val="22"/>
          <w:szCs w:val="22"/>
        </w:rPr>
        <w:t>,</w:t>
      </w:r>
      <w:r w:rsidRPr="00331F01">
        <w:rPr>
          <w:rFonts w:ascii="Cambria" w:hAnsi="Cambria"/>
          <w:bCs/>
          <w:color w:val="000000"/>
          <w:sz w:val="22"/>
          <w:szCs w:val="22"/>
        </w:rPr>
        <w:t xml:space="preserve"> conection </w:t>
      </w:r>
      <w:r w:rsidRPr="00331F01">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{"citationID":"l1bqKfhd","properties":{"formattedCitation":"(Eynon et al., 2014)","plainCitation":"(Eynon et al., 2014)","noteIndex":0},"citationItems":[{"id":"DvVQWWbP/X97M0d9c","uris":["http://zotero.org/users/local/ndX0FRyc/items/2UYKVF7Y"],"uri":["http://zotero.org/users/local/ndX0FRyc/items/2UYKVF7Y"],"itemData":{"id":621,"type":"article-journal","container-title":"International Journal of ePortfolio","issue":"1","note":"ISBN: 2157-622X\npublisher: ERIC","page":"95-114","title":"What Difference Can ePortfolio Make? A Field Report from the Connect to Learning Project.","volume":"4","author":[{"family":"Eynon","given":"Bret"},{"family":"Gambino","given":"Laura M."},{"family":"Török","given":"Judit"}],"issued":{"date-parts":[["2014"]]}}}],"schema":"https://github.com/citation-style-language/schema/raw/master/csl-citation.json"} </w:instrText>
      </w:r>
      <w:r w:rsidRPr="00331F01">
        <w:rPr>
          <w:rFonts w:ascii="Cambria" w:hAnsi="Cambria"/>
          <w:color w:val="000000"/>
          <w:sz w:val="22"/>
          <w:szCs w:val="22"/>
        </w:rPr>
        <w:fldChar w:fldCharType="separate"/>
      </w:r>
      <w:r w:rsidRPr="00331F01">
        <w:rPr>
          <w:rFonts w:ascii="Cambria" w:hAnsi="Cambria"/>
          <w:sz w:val="22"/>
          <w:szCs w:val="22"/>
        </w:rPr>
        <w:t>(Eynon et al., 2014)</w:t>
      </w:r>
      <w:r w:rsidRPr="00331F01">
        <w:rPr>
          <w:rFonts w:ascii="Cambria" w:hAnsi="Cambria"/>
          <w:color w:val="000000"/>
          <w:sz w:val="22"/>
          <w:szCs w:val="22"/>
        </w:rPr>
        <w:fldChar w:fldCharType="end"/>
      </w:r>
      <w:r w:rsidRPr="00331F01">
        <w:rPr>
          <w:rFonts w:ascii="Cambria" w:hAnsi="Cambria"/>
          <w:bCs/>
          <w:color w:val="000000"/>
          <w:sz w:val="22"/>
          <w:szCs w:val="22"/>
        </w:rPr>
        <w:t xml:space="preserve">, representation </w:t>
      </w:r>
      <w:r w:rsidRPr="00331F01">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{"citationID":"1PpjH9Ll","properties":{"formattedCitation":"(Istenic Star\\uc0\\u269{}i\\uc0\\u269{} et al., 2016)","plainCitation":"(Istenic Starčič et al., 2016)","noteIndex":0},"citationItems":[{"id":"DvVQWWbP/2gmBrwha","uris":["http://zotero.org/users/local/ndX0FRyc/items/E7PQLETP"],"uri":["http://zotero.org/users/local/ndX0FRyc/items/E7PQLETP"],"itemData":{"id":622,"type":"article-journal","container-title":"British Journal of Educational Technology","issue":"1","note":"ISBN: 0007-1013\npublisher: Wiley Online Library","page":"29-50","title":"Engaging preservice primary and preprimary school teachers in digital storytelling for the teaching and learning of mathematics","volume":"47","author":[{"family":"Istenic Starčič","given":"Andreja"},{"family":"Cotic","given":"Mara"},{"family":"Solomonides","given":"Ian"},{"family":"Volk","given":"Marina"}],"issued":{"date-parts":[["2016"]]}}}],"schema":"https://github.com/citation-style-language/schema/raw/master/csl-citation.json"} </w:instrText>
      </w:r>
      <w:r w:rsidRPr="00331F01">
        <w:rPr>
          <w:rFonts w:ascii="Cambria" w:hAnsi="Cambria"/>
          <w:color w:val="000000"/>
          <w:sz w:val="22"/>
          <w:szCs w:val="22"/>
        </w:rPr>
        <w:fldChar w:fldCharType="separate"/>
      </w:r>
      <w:r w:rsidRPr="00331F01">
        <w:rPr>
          <w:rFonts w:ascii="Cambria" w:hAnsi="Cambria"/>
          <w:sz w:val="22"/>
          <w:szCs w:val="22"/>
        </w:rPr>
        <w:t>(Istenic Starčič et al., 2016)</w:t>
      </w:r>
      <w:r w:rsidRPr="00331F01">
        <w:rPr>
          <w:rFonts w:ascii="Cambria" w:hAnsi="Cambria"/>
          <w:color w:val="000000"/>
          <w:sz w:val="22"/>
          <w:szCs w:val="22"/>
        </w:rPr>
        <w:fldChar w:fldCharType="end"/>
      </w:r>
      <w:r w:rsidRPr="00331F01">
        <w:rPr>
          <w:rFonts w:ascii="Cambria" w:hAnsi="Cambria"/>
          <w:color w:val="000000"/>
          <w:sz w:val="22"/>
          <w:szCs w:val="22"/>
        </w:rPr>
        <w:t xml:space="preserve">, </w:t>
      </w:r>
      <w:r w:rsidRPr="00331F01">
        <w:rPr>
          <w:rFonts w:ascii="Cambria" w:hAnsi="Cambria"/>
          <w:bCs/>
          <w:color w:val="000000"/>
          <w:sz w:val="22"/>
          <w:szCs w:val="22"/>
        </w:rPr>
        <w:t xml:space="preserve">and communication </w:t>
      </w:r>
      <w:r w:rsidRPr="00331F01">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{"citationID":"cyNoS8x4","properties":{"formattedCitation":"(Surya et al., 2018)","plainCitation":"(Surya et al., 2018)","noteIndex":0},"citationItems":[{"id":"DvVQWWbP/30rvTA48","uris":["http://zotero.org/users/local/ndX0FRyc/items/RA7D52T7"],"uri":["http://zotero.org/users/local/ndX0FRyc/items/RA7D52T7"],"itemData":{"id":623,"type":"article-journal","container-title":"Journal of Education and Practice","issue":"6","note":"publisher: The International Institute for Science, Technology and Education (IISTE)","page":"14-23","title":"Effect of problem based learning toward mathematical communication ability and self-regulated learning","volume":"9","author":[{"family":"Surya","given":"Edy"},{"family":"Syahputra","given":"Edi"},{"family":"Juniati","given":"Nova"}],"issued":{"date-parts":[["2018"]]}}}],"schema":"https://github.com/citation-style-language/schema/raw/master/csl-citation.json"} </w:instrText>
      </w:r>
      <w:r w:rsidRPr="00331F01">
        <w:rPr>
          <w:rFonts w:ascii="Cambria" w:hAnsi="Cambria"/>
          <w:color w:val="000000"/>
          <w:sz w:val="22"/>
          <w:szCs w:val="22"/>
        </w:rPr>
        <w:fldChar w:fldCharType="separate"/>
      </w:r>
      <w:r w:rsidRPr="00331F01">
        <w:rPr>
          <w:rFonts w:ascii="Cambria" w:hAnsi="Cambria"/>
          <w:sz w:val="22"/>
          <w:szCs w:val="22"/>
        </w:rPr>
        <w:t>(Surya et al., 2018)</w:t>
      </w:r>
      <w:r w:rsidRPr="00331F01">
        <w:rPr>
          <w:rFonts w:ascii="Cambria" w:hAnsi="Cambria"/>
          <w:color w:val="000000"/>
          <w:sz w:val="22"/>
          <w:szCs w:val="22"/>
        </w:rPr>
        <w:fldChar w:fldCharType="end"/>
      </w:r>
      <w:r w:rsidRPr="00331F01">
        <w:rPr>
          <w:rFonts w:ascii="Cambria" w:hAnsi="Cambria"/>
          <w:color w:val="000000"/>
          <w:sz w:val="22"/>
          <w:szCs w:val="22"/>
        </w:rPr>
        <w:t>.</w:t>
      </w:r>
      <w:r w:rsidR="00F62EA6">
        <w:rPr>
          <w:rFonts w:ascii="Cambria" w:hAnsi="Cambria"/>
          <w:color w:val="000000"/>
          <w:sz w:val="22"/>
          <w:szCs w:val="22"/>
        </w:rPr>
        <w:t xml:space="preserve"> </w:t>
      </w:r>
      <w:r w:rsidR="00F62EA6" w:rsidRPr="00F62EA6">
        <w:rPr>
          <w:rFonts w:ascii="Cambria" w:hAnsi="Cambria"/>
          <w:color w:val="000000"/>
          <w:sz w:val="22"/>
          <w:szCs w:val="22"/>
        </w:rPr>
        <w:t>In learning mathematics, critical thinking is important to use. This is a process of finding a concept.</w:t>
      </w:r>
    </w:p>
    <w:p w14:paraId="71097614" w14:textId="2261EEBC" w:rsidR="00673D40" w:rsidRDefault="00E07607" w:rsidP="00331F01">
      <w:pPr>
        <w:autoSpaceDE w:val="0"/>
        <w:ind w:firstLine="567"/>
        <w:jc w:val="both"/>
        <w:rPr>
          <w:rFonts w:ascii="Cambria" w:hAnsi="Cambria"/>
          <w:color w:val="000000"/>
          <w:sz w:val="22"/>
          <w:szCs w:val="22"/>
        </w:rPr>
      </w:pPr>
      <w:r w:rsidRPr="00E07607">
        <w:rPr>
          <w:rFonts w:ascii="Cambria" w:hAnsi="Cambria"/>
          <w:color w:val="000000"/>
          <w:sz w:val="22"/>
          <w:szCs w:val="22"/>
        </w:rPr>
        <w:t>According to the results of international assessments from The Program for International Student Assessment (PISA), Indonesian students' mathematics achievement is low when compared to other countries. The PISA assessment consists of basic tests in reading, mathematics, and science that are not based on any national curriculum. The PISA process is widely regarded as having strong legitimacy in describing a country's educational quality (Pratiwi, 2019). Indonesia has taken part in PISA since 2000. In the most recent PISA iteration, conducted in 2018,</w:t>
      </w:r>
      <w:r>
        <w:rPr>
          <w:rFonts w:ascii="Cambria" w:hAnsi="Cambria"/>
          <w:color w:val="000000"/>
          <w:sz w:val="22"/>
          <w:szCs w:val="22"/>
        </w:rPr>
        <w:t xml:space="preserve"> Indonesian students ranked 72</w:t>
      </w:r>
      <w:r>
        <w:rPr>
          <w:rFonts w:ascii="Cambria" w:hAnsi="Cambria"/>
          <w:color w:val="000000"/>
          <w:sz w:val="22"/>
          <w:szCs w:val="22"/>
          <w:vertAlign w:val="superscript"/>
        </w:rPr>
        <w:t xml:space="preserve"> </w:t>
      </w:r>
      <w:r w:rsidRPr="00E07607">
        <w:rPr>
          <w:rFonts w:ascii="Cambria" w:hAnsi="Cambria"/>
          <w:color w:val="000000"/>
          <w:sz w:val="22"/>
          <w:szCs w:val="22"/>
        </w:rPr>
        <w:t>out of 78 countries studied in mathematics.</w:t>
      </w:r>
    </w:p>
    <w:p w14:paraId="78CB1193" w14:textId="5E11B335" w:rsidR="00E07607" w:rsidRDefault="00E07607" w:rsidP="00331F01">
      <w:pPr>
        <w:autoSpaceDE w:val="0"/>
        <w:ind w:firstLine="567"/>
        <w:jc w:val="both"/>
        <w:rPr>
          <w:rFonts w:ascii="Cambria" w:hAnsi="Cambria"/>
          <w:color w:val="000000"/>
          <w:sz w:val="22"/>
          <w:szCs w:val="22"/>
        </w:rPr>
      </w:pPr>
      <w:r w:rsidRPr="00B73936">
        <w:rPr>
          <w:rFonts w:ascii="Times" w:hAnsi="Times" w:cstheme="minorHAnsi"/>
          <w:noProof/>
          <w:lang w:eastAsia="en-US"/>
        </w:rPr>
        <w:drawing>
          <wp:inline distT="0" distB="0" distL="0" distR="0" wp14:anchorId="6814E20D" wp14:editId="0430F8D9">
            <wp:extent cx="5229225" cy="3669523"/>
            <wp:effectExtent l="0" t="0" r="3175" b="127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26 at 11.51.5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4313" cy="3687128"/>
                    </a:xfrm>
                    <a:prstGeom prst="rect">
                      <a:avLst/>
                    </a:prstGeom>
                  </pic:spPr>
                </pic:pic>
              </a:graphicData>
            </a:graphic>
          </wp:inline>
        </w:drawing>
      </w:r>
    </w:p>
    <w:p w14:paraId="0CF6CB41" w14:textId="79116B27" w:rsidR="00E07607" w:rsidRPr="00E07607" w:rsidRDefault="00E07607" w:rsidP="00E07607">
      <w:pPr>
        <w:autoSpaceDE w:val="0"/>
        <w:ind w:firstLine="567"/>
        <w:jc w:val="both"/>
        <w:rPr>
          <w:rFonts w:ascii="Cambria" w:hAnsi="Cambria"/>
          <w:color w:val="000000"/>
          <w:sz w:val="22"/>
          <w:szCs w:val="22"/>
        </w:rPr>
      </w:pPr>
      <w:r w:rsidRPr="00E07607">
        <w:rPr>
          <w:rFonts w:ascii="Cambria" w:hAnsi="Cambria"/>
          <w:color w:val="000000"/>
          <w:sz w:val="22"/>
          <w:szCs w:val="22"/>
        </w:rPr>
        <w:t xml:space="preserve">Figure 1.  The </w:t>
      </w:r>
      <w:r>
        <w:rPr>
          <w:rFonts w:ascii="Cambria" w:hAnsi="Cambria"/>
          <w:color w:val="000000"/>
          <w:sz w:val="22"/>
          <w:szCs w:val="22"/>
        </w:rPr>
        <w:t>results of I</w:t>
      </w:r>
      <w:r w:rsidRPr="00E07607">
        <w:rPr>
          <w:rFonts w:ascii="Cambria" w:hAnsi="Cambria"/>
          <w:color w:val="000000"/>
          <w:sz w:val="22"/>
          <w:szCs w:val="22"/>
        </w:rPr>
        <w:t>ndonesian students in mathematics, science, and reading</w:t>
      </w:r>
    </w:p>
    <w:p w14:paraId="2251157E" w14:textId="77777777" w:rsidR="00E07607" w:rsidRDefault="00E07607" w:rsidP="00331F01">
      <w:pPr>
        <w:autoSpaceDE w:val="0"/>
        <w:ind w:firstLine="567"/>
        <w:jc w:val="both"/>
        <w:rPr>
          <w:rFonts w:ascii="Cambria" w:hAnsi="Cambria"/>
          <w:color w:val="000000"/>
          <w:sz w:val="22"/>
          <w:szCs w:val="22"/>
        </w:rPr>
      </w:pPr>
    </w:p>
    <w:p w14:paraId="7E04FA42" w14:textId="0B6E5DC7" w:rsidR="00E07607" w:rsidRDefault="00E07607" w:rsidP="00C97897">
      <w:pPr>
        <w:autoSpaceDE w:val="0"/>
        <w:ind w:firstLine="567"/>
        <w:jc w:val="both"/>
        <w:rPr>
          <w:rFonts w:ascii="Cambria" w:hAnsi="Cambria"/>
          <w:color w:val="000000"/>
          <w:sz w:val="22"/>
          <w:szCs w:val="22"/>
        </w:rPr>
      </w:pPr>
      <w:r w:rsidRPr="00E07607">
        <w:rPr>
          <w:rFonts w:ascii="Cambria" w:hAnsi="Cambria"/>
          <w:color w:val="000000"/>
          <w:sz w:val="22"/>
          <w:szCs w:val="22"/>
        </w:rPr>
        <w:t xml:space="preserve">Figure 1 shows that Indonesian students, particularly in mathematics, have a lower average score than most </w:t>
      </w:r>
      <w:r w:rsidR="00465197" w:rsidRPr="00465197">
        <w:rPr>
          <w:rFonts w:ascii="Cambria" w:hAnsi="Cambria"/>
          <w:color w:val="000000"/>
          <w:sz w:val="22"/>
          <w:szCs w:val="22"/>
        </w:rPr>
        <w:t>Organisation for Economic Co-operation and Development (</w:t>
      </w:r>
      <w:r w:rsidRPr="00E07607">
        <w:rPr>
          <w:rFonts w:ascii="Cambria" w:hAnsi="Cambria"/>
          <w:color w:val="000000"/>
          <w:sz w:val="22"/>
          <w:szCs w:val="22"/>
        </w:rPr>
        <w:t>OECD</w:t>
      </w:r>
      <w:r w:rsidR="00465197">
        <w:rPr>
          <w:rFonts w:ascii="Cambria" w:hAnsi="Cambria"/>
          <w:color w:val="000000"/>
          <w:sz w:val="22"/>
          <w:szCs w:val="22"/>
        </w:rPr>
        <w:t>)</w:t>
      </w:r>
      <w:r w:rsidRPr="00E07607">
        <w:rPr>
          <w:rFonts w:ascii="Cambria" w:hAnsi="Cambria"/>
          <w:color w:val="000000"/>
          <w:sz w:val="22"/>
          <w:szCs w:val="22"/>
        </w:rPr>
        <w:t xml:space="preserve"> countries, with an average score of 379 compared to an OECD average score of 489. According to the</w:t>
      </w:r>
      <w:r w:rsidR="00C12A14">
        <w:rPr>
          <w:rFonts w:ascii="Cambria" w:hAnsi="Cambria"/>
          <w:color w:val="000000"/>
          <w:sz w:val="22"/>
          <w:szCs w:val="22"/>
        </w:rPr>
        <w:t xml:space="preserve"> </w:t>
      </w:r>
      <w:r w:rsidR="00C12A14">
        <w:rPr>
          <w:rFonts w:ascii="Cambria" w:hAnsi="Cambria"/>
          <w:color w:val="000000"/>
          <w:sz w:val="22"/>
          <w:szCs w:val="22"/>
        </w:rPr>
        <w:fldChar w:fldCharType="begin"/>
      </w:r>
      <w:r w:rsidR="006A7F67">
        <w:rPr>
          <w:rFonts w:ascii="Cambria" w:hAnsi="Cambria"/>
          <w:color w:val="000000"/>
          <w:sz w:val="22"/>
          <w:szCs w:val="22"/>
        </w:rPr>
        <w:instrText xml:space="preserve"> ADDIN ZOTERO_ITEM CSL_CITATION {"citationID":"9ZUYpWhB","properties":{"formattedCitation":"(Schleicher, 2019)","plainCitation":"(Schleicher, 2019)","dontUpdate":true,"noteIndex":0},"citationItems":[{"id":656,"uris":["http://zotero.org/users/4795968/items/EN26MABN"],"uri":["http://zotero.org/users/4795968/items/EN26MABN"],"itemData":{"id":656,"type":"article-journal","container-title":"OECD Publishing","note":"publisher: ERIC","title":"PISA 2018: Insights and Interpretations.","author":[{"family":"Schleicher","given":"Andreas"}],"issued":{"date-parts":[["2019"]]}}}],"schema":"https://github.com/citation-style-language/schema/raw/master/csl-citation.json"} </w:instrText>
      </w:r>
      <w:r w:rsidR="00C12A14">
        <w:rPr>
          <w:rFonts w:ascii="Cambria" w:hAnsi="Cambria"/>
          <w:color w:val="000000"/>
          <w:sz w:val="22"/>
          <w:szCs w:val="22"/>
        </w:rPr>
        <w:fldChar w:fldCharType="separate"/>
      </w:r>
      <w:r w:rsidR="00C12A14">
        <w:rPr>
          <w:rFonts w:ascii="Cambria" w:hAnsi="Cambria"/>
          <w:sz w:val="22"/>
        </w:rPr>
        <w:t>Schleicher (</w:t>
      </w:r>
      <w:r w:rsidR="00C12A14" w:rsidRPr="00C12A14">
        <w:rPr>
          <w:rFonts w:ascii="Cambria" w:hAnsi="Cambria"/>
          <w:sz w:val="22"/>
        </w:rPr>
        <w:t>2019)</w:t>
      </w:r>
      <w:r w:rsidR="00C12A14">
        <w:rPr>
          <w:rFonts w:ascii="Cambria" w:hAnsi="Cambria"/>
          <w:color w:val="000000"/>
          <w:sz w:val="22"/>
          <w:szCs w:val="22"/>
        </w:rPr>
        <w:fldChar w:fldCharType="end"/>
      </w:r>
      <w:r w:rsidRPr="00E07607">
        <w:rPr>
          <w:rFonts w:ascii="Cambria" w:hAnsi="Cambria"/>
          <w:color w:val="000000"/>
          <w:sz w:val="22"/>
          <w:szCs w:val="22"/>
        </w:rPr>
        <w:t xml:space="preserve">, based on PISA results, approximately 28% of Indonesian students achieved level 2 or </w:t>
      </w:r>
      <w:r w:rsidRPr="00E07607">
        <w:rPr>
          <w:rFonts w:ascii="Cambria" w:hAnsi="Cambria"/>
          <w:color w:val="000000"/>
          <w:sz w:val="22"/>
          <w:szCs w:val="22"/>
        </w:rPr>
        <w:lastRenderedPageBreak/>
        <w:t>higher in mathematics, compared to the OECD average of 76%. To put it another way, 72 percent of Indonesian students are considered low achievers in mathematics, compared to the OECD average of 24 percent (right chart in Figure 1).</w:t>
      </w:r>
      <w:r w:rsidR="00C97897">
        <w:rPr>
          <w:rFonts w:ascii="Cambria" w:hAnsi="Cambria"/>
          <w:color w:val="000000"/>
          <w:sz w:val="22"/>
          <w:szCs w:val="22"/>
        </w:rPr>
        <w:t xml:space="preserve"> </w:t>
      </w:r>
      <w:r w:rsidR="00C97897" w:rsidRPr="00C97897">
        <w:rPr>
          <w:rFonts w:ascii="Cambria" w:hAnsi="Cambria"/>
          <w:color w:val="000000"/>
          <w:sz w:val="22"/>
          <w:szCs w:val="22"/>
        </w:rPr>
        <w:t>At level 2, these pupils can mathematically analyze, acknowledge and describe a simple issue. But just 1% of Indonesian students score at level 5 (OECD average 11 percent ). Those kids can use mathematical models to solve challenging circumstances and can select, comparison and evaluate problem-solving solutions.</w:t>
      </w:r>
    </w:p>
    <w:p w14:paraId="5DCD04C7" w14:textId="3ED6955E" w:rsidR="0035076D" w:rsidRDefault="0035076D" w:rsidP="00C97897">
      <w:pPr>
        <w:autoSpaceDE w:val="0"/>
        <w:ind w:firstLine="567"/>
        <w:jc w:val="both"/>
        <w:rPr>
          <w:rFonts w:ascii="Cambria" w:hAnsi="Cambria"/>
          <w:color w:val="000000"/>
          <w:sz w:val="22"/>
          <w:szCs w:val="22"/>
        </w:rPr>
      </w:pPr>
      <w:r w:rsidRPr="0035076D">
        <w:rPr>
          <w:rFonts w:ascii="Cambria" w:hAnsi="Cambria"/>
          <w:color w:val="000000"/>
          <w:sz w:val="22"/>
          <w:szCs w:val="22"/>
        </w:rPr>
        <w:t xml:space="preserve">A learning factor is one of the claims of low-mindedness. </w:t>
      </w:r>
      <w:r>
        <w:rPr>
          <w:rFonts w:ascii="Cambria" w:hAnsi="Cambria"/>
          <w:bCs/>
          <w:color w:val="000000"/>
          <w:sz w:val="22"/>
          <w:szCs w:val="22"/>
        </w:rPr>
        <w:t xml:space="preserve">The </w:t>
      </w:r>
      <w:r w:rsidRPr="003A254F">
        <w:rPr>
          <w:rFonts w:ascii="Cambria" w:hAnsi="Cambria"/>
          <w:bCs/>
          <w:color w:val="000000"/>
          <w:sz w:val="22"/>
          <w:szCs w:val="22"/>
        </w:rPr>
        <w:t xml:space="preserve">most students who use only conventional learning are unable to understand critical thinking </w:t>
      </w:r>
      <w:r w:rsidRPr="003A254F">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{"citationID":"SFKOodMR","properties":{"formattedCitation":"(Happy &amp; Widjajanti, 2014)","plainCitation":"(Happy &amp; Widjajanti, 2014)","noteIndex":0},"citationItems":[{"id":"DvVQWWbP/XpZaecJU","uris":["http://zotero.org/users/local/ndX0FRyc/items/3JEDBN7W"],"uri":["http://zotero.org/users/local/ndX0FRyc/items/3JEDBN7W"],"itemData":{"id":624,"type":"article-journal","container-title":"Jurnal Riset Pendidikan Matematika","issue":"1","note":"ISBN: 2477-1503","page":"48-57","title":"Keefektifan PBL ditinjau dari kemampuan berpikir kritis dan kreatif matematis, serta self-esteem siswa SMP","volume":"1","author":[{"family":"Happy","given":"Nurina"},{"family":"Widjajanti","given":"Djamilah Bondan"}],"issued":{"date-parts":[["2014"]]}}}],"schema":"https://github.com/citation-style-language/schema/raw/master/csl-citation.json"} </w:instrText>
      </w:r>
      <w:r w:rsidRPr="003A254F">
        <w:rPr>
          <w:rFonts w:ascii="Cambria" w:hAnsi="Cambria"/>
          <w:color w:val="000000"/>
          <w:sz w:val="22"/>
          <w:szCs w:val="22"/>
        </w:rPr>
        <w:fldChar w:fldCharType="separate"/>
      </w:r>
      <w:r w:rsidRPr="003A254F">
        <w:rPr>
          <w:rFonts w:ascii="Cambria" w:hAnsi="Cambria"/>
          <w:sz w:val="22"/>
          <w:szCs w:val="22"/>
        </w:rPr>
        <w:t>(Happy &amp; Widjajanti, 2014)</w:t>
      </w:r>
      <w:r w:rsidRPr="003A254F">
        <w:rPr>
          <w:rFonts w:ascii="Cambria" w:hAnsi="Cambria"/>
          <w:color w:val="000000"/>
          <w:sz w:val="22"/>
          <w:szCs w:val="22"/>
        </w:rPr>
        <w:fldChar w:fldCharType="end"/>
      </w:r>
      <w:r w:rsidRPr="003A254F">
        <w:rPr>
          <w:rFonts w:ascii="Cambria" w:hAnsi="Cambria"/>
          <w:color w:val="000000" w:themeColor="text1"/>
          <w:sz w:val="22"/>
          <w:szCs w:val="22"/>
        </w:rPr>
        <w:t xml:space="preserve">. </w:t>
      </w:r>
      <w:r w:rsidRPr="0035076D">
        <w:rPr>
          <w:rFonts w:ascii="Cambria" w:hAnsi="Cambria"/>
          <w:color w:val="000000"/>
          <w:sz w:val="22"/>
          <w:szCs w:val="22"/>
        </w:rPr>
        <w:t xml:space="preserve">Teachers should therefore use a diverse, interesting approach of learning to fill this important abstract subject in the form of conventional learning </w:t>
      </w:r>
      <w:r w:rsidRPr="0035076D">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{"citationID":"RuFN0gxO","properties":{"formattedCitation":"(Kariyana &amp; Sonn, 2016; Putra et al., 2020)","plainCitation":"(Kariyana &amp; Sonn, 2016; Putra et al., 2020)","noteIndex":0},"citationItems":[{"id":"DvVQWWbP/un7QRk58","uris":["http://www.mendeley.com/documents/?uuid=2a347cf5-a7a6-4c0f-9fcb-19338841a768"],"uri":["http://www.mendeley.com/documents/?uuid=2a347cf5-a7a6-4c0f-9fcb-19338841a768"],"itemData":{"DOI":"10.1080/09751122.2016.11890415","author":[{"dropping-particle":"","family":"Kariyana","given":"Israel","non-dropping-particle":"","parse-names":false,"suffix":""},{"dropping-particle":"","family":"Sonn","given":"Reynold A","non-dropping-particle":"","parse-names":false,"suffix":""}],"container-title":"International Journal of Educational Sciences","id":"ITEM-1","issue":"1","issued":{"date-parts":[["2016"]]},"page":"75-88","title":"Teaching Methods and Learners’ Concept Formation, Development and Integration in Geometry: Assessing the Relationship","type":"article-journal","volume":"12"}},{"id":1440,"uris":["http://zotero.org/users/4795968/items/LCIHJNJW"],"uri":["http://zotero.org/users/4795968/items/LCIHJNJW"],"itemData":{"id":1440,"type":"article-journal","container-title":"Journal for the Mathematics Education and Teaching Practices","issue":"1","page":"37-42","title":"An experiment on connecting, organizing, reflecting, and extending (core) learning model and learning styles: the interaction and effects on mathematical communication skills","volume":"1","author":[{"family":"Putra","given":"Fredi Ganda"},{"family":"Widyawati","given":"Santi"},{"family":"KOMARUDİN","given":"Komarudin"},{"family":"ARYANİ","given":"Suci"}],"issued":{"date-parts":[["2020"]]}}}],"schema":"https://github.com/citation-style-language/schema/raw/master/csl-citation.json"} </w:instrText>
      </w:r>
      <w:r w:rsidRPr="0035076D">
        <w:rPr>
          <w:rFonts w:ascii="Cambria" w:hAnsi="Cambria"/>
          <w:color w:val="000000"/>
          <w:sz w:val="22"/>
          <w:szCs w:val="22"/>
        </w:rPr>
        <w:fldChar w:fldCharType="separate"/>
      </w:r>
      <w:r w:rsidR="00AB2290" w:rsidRPr="00AB2290">
        <w:rPr>
          <w:rFonts w:ascii="Cambria" w:hAnsi="Cambria"/>
          <w:sz w:val="22"/>
        </w:rPr>
        <w:t>(Kariyana &amp; Sonn, 2016; Putra et al., 2020)</w:t>
      </w:r>
      <w:r w:rsidRPr="0035076D">
        <w:rPr>
          <w:rFonts w:ascii="Cambria" w:hAnsi="Cambria"/>
          <w:color w:val="000000"/>
          <w:sz w:val="22"/>
          <w:szCs w:val="22"/>
        </w:rPr>
        <w:fldChar w:fldCharType="end"/>
      </w:r>
      <w:r w:rsidRPr="0035076D">
        <w:rPr>
          <w:rFonts w:ascii="Cambria" w:hAnsi="Cambria"/>
          <w:color w:val="000000"/>
          <w:sz w:val="22"/>
          <w:szCs w:val="22"/>
        </w:rPr>
        <w:t xml:space="preserve"> and to promote students to conduct numerous experiments to enable them to go through the abstraction level to better their understanding of </w:t>
      </w:r>
      <w:r w:rsidR="005908EF">
        <w:rPr>
          <w:rFonts w:ascii="Cambria" w:hAnsi="Cambria"/>
          <w:color w:val="000000"/>
          <w:sz w:val="22"/>
          <w:szCs w:val="22"/>
        </w:rPr>
        <w:t>c</w:t>
      </w:r>
      <w:r w:rsidR="005908EF" w:rsidRPr="0035076D">
        <w:rPr>
          <w:rFonts w:ascii="Cambria" w:hAnsi="Cambria"/>
          <w:color w:val="000000"/>
          <w:sz w:val="22"/>
          <w:szCs w:val="22"/>
        </w:rPr>
        <w:t xml:space="preserve">reative </w:t>
      </w:r>
      <w:r w:rsidR="003B5724">
        <w:rPr>
          <w:rFonts w:ascii="Cambria" w:hAnsi="Cambria"/>
          <w:color w:val="000000"/>
          <w:sz w:val="22"/>
          <w:szCs w:val="22"/>
        </w:rPr>
        <w:t xml:space="preserve">and critical </w:t>
      </w:r>
      <w:r w:rsidRPr="0035076D">
        <w:rPr>
          <w:rFonts w:ascii="Cambria" w:hAnsi="Cambria"/>
          <w:color w:val="000000"/>
          <w:sz w:val="22"/>
          <w:szCs w:val="22"/>
        </w:rPr>
        <w:t>thinking</w:t>
      </w:r>
      <w:r w:rsidR="005908EF">
        <w:rPr>
          <w:rFonts w:ascii="Cambria" w:hAnsi="Cambria"/>
          <w:color w:val="000000"/>
          <w:sz w:val="22"/>
          <w:szCs w:val="22"/>
        </w:rPr>
        <w:t>.</w:t>
      </w:r>
      <w:r w:rsidR="000A7B3C">
        <w:rPr>
          <w:rFonts w:ascii="Cambria" w:hAnsi="Cambria"/>
          <w:color w:val="000000"/>
          <w:sz w:val="22"/>
          <w:szCs w:val="22"/>
        </w:rPr>
        <w:t xml:space="preserve"> Furthermore, gender is appropriate to knowing these factors. </w:t>
      </w:r>
      <w:r w:rsidR="00346FBE" w:rsidRPr="00346FBE">
        <w:rPr>
          <w:rFonts w:ascii="Cambria" w:hAnsi="Cambria"/>
          <w:color w:val="000000"/>
          <w:sz w:val="22"/>
          <w:szCs w:val="22"/>
        </w:rPr>
        <w:t>Teachers of all skill levels interact more with male students than with female students</w:t>
      </w:r>
      <w:r w:rsidR="00346FBE">
        <w:rPr>
          <w:rFonts w:ascii="Cambria" w:hAnsi="Cambria"/>
          <w:color w:val="000000"/>
          <w:sz w:val="22"/>
          <w:szCs w:val="22"/>
        </w:rPr>
        <w:t xml:space="preserve"> </w:t>
      </w:r>
      <w:r w:rsidR="00346FBE">
        <w:rPr>
          <w:rFonts w:ascii="Cambria" w:hAnsi="Cambria"/>
          <w:color w:val="000000"/>
          <w:sz w:val="22"/>
          <w:szCs w:val="22"/>
        </w:rPr>
        <w:fldChar w:fldCharType="begin"/>
      </w:r>
      <w:r w:rsidR="00346FBE">
        <w:rPr>
          <w:rFonts w:ascii="Cambria" w:hAnsi="Cambria"/>
          <w:color w:val="000000"/>
          <w:sz w:val="22"/>
          <w:szCs w:val="22"/>
        </w:rPr>
        <w:instrText xml:space="preserve"> ADDIN ZOTERO_ITEM CSL_CITATION {"citationID":"Wi2EhGEU","properties":{"formattedCitation":"(Canning et al., 2019)","plainCitation":"(Canning et al., 2019)","noteIndex":0},"citationItems":[{"id":1437,"uris":["http://zotero.org/users/4795968/items/5ZNS6CG8"],"uri":["http://zotero.org/users/4795968/items/5ZNS6CG8"],"itemData":{"id":1437,"type":"article-journal","container-title":"Science advances","issue":"2","note":"ISBN: 2375-2548\npublisher: American Association for the Advancement of Science","page":"eaau4734","title":"STEM faculty who believe ability is fixed have larger racial achievement gaps and inspire less student motivation in their classes","volume":"5","author":[{"family":"Canning","given":"Elizabeth A."},{"family":"Muenks","given":"Katherine"},{"family":"Green","given":"Dorainne J."},{"family":"Murphy","given":"Mary C."}],"issued":{"date-parts":[["2019"]]}}}],"schema":"https://github.com/citation-style-language/schema/raw/master/csl-citation.json"} </w:instrText>
      </w:r>
      <w:r w:rsidR="00346FBE">
        <w:rPr>
          <w:rFonts w:ascii="Cambria" w:hAnsi="Cambria"/>
          <w:color w:val="000000"/>
          <w:sz w:val="22"/>
          <w:szCs w:val="22"/>
        </w:rPr>
        <w:fldChar w:fldCharType="separate"/>
      </w:r>
      <w:r w:rsidR="00346FBE" w:rsidRPr="00346FBE">
        <w:rPr>
          <w:rFonts w:ascii="Cambria" w:hAnsi="Cambria"/>
          <w:sz w:val="22"/>
        </w:rPr>
        <w:t>(Canning et al., 2019)</w:t>
      </w:r>
      <w:r w:rsidR="00346FBE">
        <w:rPr>
          <w:rFonts w:ascii="Cambria" w:hAnsi="Cambria"/>
          <w:color w:val="000000"/>
          <w:sz w:val="22"/>
          <w:szCs w:val="22"/>
        </w:rPr>
        <w:fldChar w:fldCharType="end"/>
      </w:r>
      <w:r w:rsidR="00346FBE" w:rsidRPr="00346FBE">
        <w:rPr>
          <w:rFonts w:ascii="Cambria" w:hAnsi="Cambria"/>
          <w:color w:val="000000"/>
          <w:sz w:val="22"/>
          <w:szCs w:val="22"/>
        </w:rPr>
        <w:t>.</w:t>
      </w:r>
    </w:p>
    <w:p w14:paraId="73CE9321" w14:textId="2AFAF7C5" w:rsidR="0035076D" w:rsidRPr="001655D2" w:rsidRDefault="00770C3F" w:rsidP="00C97897">
      <w:pPr>
        <w:autoSpaceDE w:val="0"/>
        <w:ind w:firstLine="567"/>
        <w:jc w:val="both"/>
        <w:rPr>
          <w:rFonts w:ascii="Cambria" w:hAnsi="Cambria"/>
          <w:color w:val="000000"/>
          <w:sz w:val="22"/>
          <w:szCs w:val="22"/>
        </w:rPr>
      </w:pPr>
      <w:r w:rsidRPr="00770C3F">
        <w:rPr>
          <w:rFonts w:ascii="Cambria" w:hAnsi="Cambria"/>
          <w:color w:val="000000"/>
          <w:sz w:val="22"/>
          <w:szCs w:val="22"/>
        </w:rPr>
        <w:t>The learning approach to enhancing student understanding by teachers is science, technology, engineering and mathematics (STEM). STEM is an important issue for the educational trends of today and it is recognized internationally as a foundation for economic growth and for advancing skills that people need in the 21st century</w:t>
      </w:r>
      <w:r w:rsidR="00C345D8">
        <w:rPr>
          <w:rFonts w:ascii="Cambria" w:hAnsi="Cambria"/>
          <w:color w:val="000000"/>
          <w:sz w:val="22"/>
          <w:szCs w:val="22"/>
        </w:rPr>
        <w:t xml:space="preserve"> </w:t>
      </w:r>
      <w:r w:rsidR="00C345D8">
        <w:rPr>
          <w:rFonts w:ascii="Cambria" w:hAnsi="Cambria"/>
          <w:color w:val="000000"/>
          <w:sz w:val="22"/>
          <w:szCs w:val="22"/>
        </w:rPr>
        <w:fldChar w:fldCharType="begin"/>
      </w:r>
      <w:r w:rsidR="00C345D8">
        <w:rPr>
          <w:rFonts w:ascii="Cambria" w:hAnsi="Cambria"/>
          <w:color w:val="000000"/>
          <w:sz w:val="22"/>
          <w:szCs w:val="22"/>
        </w:rPr>
        <w:instrText xml:space="preserve"> ADDIN ZOTERO_ITEM CSL_CITATION {"citationID":"qdHzEWYx","properties":{"formattedCitation":"(Chai, 2019; Maass et al., 2019)","plainCitation":"(Chai, 2019; Maass et al., 2019)","noteIndex":0},"citationItems":[{"id":1433,"uris":["http://zotero.org/users/4795968/items/TSK65TV5"],"uri":["http://zotero.org/users/4795968/items/TSK65TV5"],"itemData":{"id":1433,"type":"article-journal","container-title":"The Asia-Pacific Education Researcher","issue":"1","note":"ISBN: 2243-7908\npublisher: Springer","page":"5-13","title":"Teacher professional development for science, technology, engineering and mathematics (STEM) education: A review from the perspectives of technological pedagogical content (TPACK)","volume":"28","author":[{"family":"Chai","given":"Ching Sing"}],"issued":{"date-parts":[["2019"]]}}},{"id":545,"uris":["http://zotero.org/users/4795968/items/DYILSDIQ"],"uri":["http://zotero.org/users/4795968/items/DYILSDIQ"],"itemData":{"id":545,"type":"article-journal","container-title":"ZDM","note":"ISBN: 1863-9690\npublisher: Springer","page":"1-16","title":"The role of mathematics in interdisciplinary STEM education","author":[{"family":"Maass","given":"Katja"},{"family":"Geiger","given":"Vince"},{"family":"Ariza","given":"Marta Romero"},{"family":"Goos","given":"Merrilyn"}],"issued":{"date-parts":[["2019"]]}}}],"schema":"https://github.com/citation-style-language/schema/raw/master/csl-citation.json"} </w:instrText>
      </w:r>
      <w:r w:rsidR="00C345D8">
        <w:rPr>
          <w:rFonts w:ascii="Cambria" w:hAnsi="Cambria"/>
          <w:color w:val="000000"/>
          <w:sz w:val="22"/>
          <w:szCs w:val="22"/>
        </w:rPr>
        <w:fldChar w:fldCharType="separate"/>
      </w:r>
      <w:r w:rsidR="00C345D8" w:rsidRPr="00C345D8">
        <w:rPr>
          <w:rFonts w:ascii="Cambria" w:hAnsi="Cambria"/>
          <w:sz w:val="22"/>
        </w:rPr>
        <w:t>(Chai, 2019; Maass et al., 2019)</w:t>
      </w:r>
      <w:r w:rsidR="00C345D8">
        <w:rPr>
          <w:rFonts w:ascii="Cambria" w:hAnsi="Cambria"/>
          <w:color w:val="000000"/>
          <w:sz w:val="22"/>
          <w:szCs w:val="22"/>
        </w:rPr>
        <w:fldChar w:fldCharType="end"/>
      </w:r>
      <w:r w:rsidRPr="00770C3F">
        <w:rPr>
          <w:rFonts w:ascii="Cambria" w:hAnsi="Cambria"/>
          <w:color w:val="000000"/>
          <w:sz w:val="22"/>
          <w:szCs w:val="22"/>
        </w:rPr>
        <w:t xml:space="preserve">. Two or more fields of knowledge contained in STEM or in one or more other subject fields may be integrated into the </w:t>
      </w:r>
      <w:r w:rsidRPr="001655D2">
        <w:rPr>
          <w:rFonts w:ascii="Cambria" w:hAnsi="Cambria"/>
          <w:color w:val="000000"/>
          <w:sz w:val="22"/>
          <w:szCs w:val="22"/>
        </w:rPr>
        <w:t>STEM approach</w:t>
      </w:r>
      <w:r w:rsidR="002565FF" w:rsidRPr="001655D2">
        <w:rPr>
          <w:rFonts w:ascii="Cambria" w:hAnsi="Cambria"/>
          <w:color w:val="000000"/>
          <w:sz w:val="22"/>
          <w:szCs w:val="22"/>
        </w:rPr>
        <w:t xml:space="preserve"> </w:t>
      </w:r>
      <w:r w:rsidR="002565FF" w:rsidRPr="001655D2">
        <w:rPr>
          <w:rFonts w:ascii="Cambria" w:hAnsi="Cambria"/>
          <w:color w:val="000000"/>
          <w:sz w:val="22"/>
          <w:szCs w:val="22"/>
        </w:rPr>
        <w:fldChar w:fldCharType="begin"/>
      </w:r>
      <w:r w:rsidR="002565FF" w:rsidRPr="001655D2">
        <w:rPr>
          <w:rFonts w:ascii="Cambria" w:hAnsi="Cambria"/>
          <w:color w:val="000000"/>
          <w:sz w:val="22"/>
          <w:szCs w:val="22"/>
        </w:rPr>
        <w:instrText xml:space="preserve"> ADDIN ZOTERO_ITEM CSL_CITATION {"citationID":"LpJhvwn6","properties":{"formattedCitation":"(Mart\\uc0\\u237{}n\\uc0\\u8208{}P\\uc0\\u225{}ez et al., 2019; Shernoff et al., 2017)","plainCitation":"(Martín‐Páez et al., 2019; Shernoff et al., 2017)","noteIndex":0},"citationItems":[{"id":1435,"uris":["http://zotero.org/users/4795968/items/M7CEQKBW"],"uri":["http://zotero.org/users/4795968/items/M7CEQKBW"],"itemData":{"id":1435,"type":"article-journal","container-title":"Science Education","issue":"4","note":"ISBN: 0036-8326\npublisher: Wiley Online Library","page":"799-822","title":"What are we talking about when we talk about STEM education? A review of literature","volume":"103","author":[{"family":"Martín‐Páez","given":"Tobías"},{"family":"Aguilera","given":"David"},{"family":"Perales‐Palacios","given":"Francisco Javier"},{"family":"Vílchez‐González","given":"José Miguel"}],"issued":{"date-parts":[["2019"]]}}},{"id":1434,"uris":["http://zotero.org/users/4795968/items/W26S6KHV"],"uri":["http://zotero.org/users/4795968/items/W26S6KHV"],"itemData":{"id":1434,"type":"article-journal","container-title":"International Journal of STEM Education","issue":"1","note":"ISBN: 2196-7822\npublisher: Springer","page":"1-16","title":"Assessing teacher education and professional development needs for the implementation of integrated approaches to STEM education","volume":"4","author":[{"family":"Shernoff","given":"David J."},{"family":"Sinha","given":"Suparna"},{"family":"Bressler","given":"Denise M."},{"family":"Ginsburg","given":"Lynda"}],"issued":{"date-parts":[["2017"]]}}}],"schema":"https://github.com/citation-style-language/schema/raw/master/csl-citation.json"} </w:instrText>
      </w:r>
      <w:r w:rsidR="002565FF" w:rsidRPr="001655D2">
        <w:rPr>
          <w:rFonts w:ascii="Cambria" w:hAnsi="Cambria"/>
          <w:color w:val="000000"/>
          <w:sz w:val="22"/>
          <w:szCs w:val="22"/>
        </w:rPr>
        <w:fldChar w:fldCharType="separate"/>
      </w:r>
      <w:r w:rsidR="002565FF" w:rsidRPr="001655D2">
        <w:rPr>
          <w:rFonts w:ascii="Cambria" w:hAnsi="Cambria"/>
          <w:sz w:val="22"/>
          <w:szCs w:val="22"/>
        </w:rPr>
        <w:t>(Martín‐Páez et al., 2019; Shernoff et al., 2017)</w:t>
      </w:r>
      <w:r w:rsidR="002565FF" w:rsidRPr="001655D2">
        <w:rPr>
          <w:rFonts w:ascii="Cambria" w:hAnsi="Cambria"/>
          <w:color w:val="000000"/>
          <w:sz w:val="22"/>
          <w:szCs w:val="22"/>
        </w:rPr>
        <w:fldChar w:fldCharType="end"/>
      </w:r>
      <w:r w:rsidRPr="001655D2">
        <w:rPr>
          <w:rFonts w:ascii="Cambria" w:hAnsi="Cambria"/>
          <w:color w:val="000000"/>
          <w:sz w:val="22"/>
          <w:szCs w:val="22"/>
        </w:rPr>
        <w:t>.</w:t>
      </w:r>
    </w:p>
    <w:p w14:paraId="24EF6880" w14:textId="45CF203E" w:rsidR="00023B94" w:rsidRPr="00E22D6C" w:rsidRDefault="00673D40" w:rsidP="00673D4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000000" w:themeColor="text1"/>
          <w:sz w:val="22"/>
          <w:szCs w:val="22"/>
        </w:rPr>
      </w:pPr>
      <w:r w:rsidRPr="001655D2">
        <w:rPr>
          <w:rFonts w:ascii="Cambria" w:hAnsi="Cambria"/>
          <w:color w:val="000000" w:themeColor="text1"/>
          <w:sz w:val="22"/>
          <w:szCs w:val="22"/>
        </w:rPr>
        <w:tab/>
        <w:t xml:space="preserve">Recently, the majority of research on </w:t>
      </w:r>
      <w:r w:rsidR="0041547D" w:rsidRPr="001655D2">
        <w:rPr>
          <w:rFonts w:ascii="Cambria" w:hAnsi="Cambria"/>
          <w:color w:val="000000" w:themeColor="text1"/>
          <w:sz w:val="22"/>
          <w:szCs w:val="22"/>
        </w:rPr>
        <w:t xml:space="preserve">STEM </w:t>
      </w:r>
      <w:r w:rsidRPr="001655D2">
        <w:rPr>
          <w:rFonts w:ascii="Cambria" w:hAnsi="Cambria"/>
          <w:color w:val="000000" w:themeColor="text1"/>
          <w:sz w:val="22"/>
          <w:szCs w:val="22"/>
        </w:rPr>
        <w:t xml:space="preserve">has been conducted </w:t>
      </w:r>
      <w:r w:rsidR="0041547D" w:rsidRPr="001655D2">
        <w:rPr>
          <w:rFonts w:ascii="Cambria" w:hAnsi="Cambria"/>
          <w:color w:val="000000" w:themeColor="text1"/>
          <w:sz w:val="22"/>
          <w:szCs w:val="22"/>
        </w:rPr>
        <w:t>in education school</w:t>
      </w:r>
      <w:r w:rsidRPr="001655D2">
        <w:rPr>
          <w:rFonts w:ascii="Cambria" w:hAnsi="Cambria"/>
          <w:color w:val="000000" w:themeColor="text1"/>
          <w:sz w:val="22"/>
          <w:szCs w:val="22"/>
        </w:rPr>
        <w:fldChar w:fldCharType="begin"/>
      </w:r>
      <w:r w:rsidR="006A7F67">
        <w:rPr>
          <w:rFonts w:ascii="Cambria" w:hAnsi="Cambria"/>
          <w:color w:val="000000" w:themeColor="text1"/>
          <w:sz w:val="22"/>
          <w:szCs w:val="22"/>
        </w:rPr>
        <w:instrText xml:space="preserve"> ADDIN ZOTERO_ITEM CSL_CITATION {"citationID":"Go3kcHaQ","properties":{"formattedCitation":"(Liau et al., 2007)","plainCitation":"(Liau et al., 2007)","dontUpdate":true,"noteIndex":0},"citationItems":[{"id":1424,"uris":["http://zotero.org/users/4795968/items/MCCJFYZ4"],"uri":["http://zotero.org/users/4795968/items/MCCJFYZ4"],"itemData":{"id":1424,"type":"article-journal","source":"Google Scholar","title":"Reliability and validity of a Malay translation of the Fennema-Sherman Mathematics Attitudes Scales","author":[{"family":"Liau","given":"Albert"},{"family":"Kassim","given":"Mustapa"},{"family":"Liau","given":"Michael Tet Loke"}],"issued":{"date-parts":[["2007"]]}}}],"schema":"https://github.com/citation-style-language/schema/raw/master/csl-citation.json"} </w:instrText>
      </w:r>
      <w:r w:rsidRPr="001655D2">
        <w:rPr>
          <w:rFonts w:ascii="Cambria" w:hAnsi="Cambria"/>
          <w:color w:val="000000" w:themeColor="text1"/>
          <w:sz w:val="22"/>
          <w:szCs w:val="22"/>
        </w:rPr>
        <w:fldChar w:fldCharType="end"/>
      </w:r>
      <w:r w:rsidRPr="001655D2">
        <w:rPr>
          <w:rFonts w:ascii="Cambria" w:hAnsi="Cambria"/>
          <w:color w:val="000000" w:themeColor="text1"/>
          <w:sz w:val="22"/>
          <w:szCs w:val="22"/>
        </w:rPr>
        <w:t xml:space="preserve">. As a result </w:t>
      </w:r>
      <w:r w:rsidR="001655D2" w:rsidRPr="001655D2">
        <w:rPr>
          <w:rFonts w:ascii="Cambria" w:hAnsi="Cambria"/>
          <w:color w:val="000000" w:themeColor="text1"/>
          <w:sz w:val="22"/>
          <w:szCs w:val="22"/>
        </w:rPr>
        <w:t>have shown that integration of the STEM in learning improves the students' accomplishment in algebra, geometry and probability</w:t>
      </w:r>
      <w:r w:rsidR="00845E6F">
        <w:rPr>
          <w:rFonts w:ascii="Cambria" w:hAnsi="Cambria"/>
          <w:color w:val="000000" w:themeColor="text1"/>
          <w:sz w:val="22"/>
          <w:szCs w:val="22"/>
        </w:rPr>
        <w:t xml:space="preserve"> </w:t>
      </w:r>
      <w:r w:rsidR="00845E6F">
        <w:rPr>
          <w:rFonts w:ascii="Cambria" w:hAnsi="Cambria"/>
          <w:color w:val="000000" w:themeColor="text1"/>
          <w:sz w:val="22"/>
          <w:szCs w:val="22"/>
        </w:rPr>
        <w:fldChar w:fldCharType="begin"/>
      </w:r>
      <w:r w:rsidR="00845E6F">
        <w:rPr>
          <w:rFonts w:ascii="Cambria" w:hAnsi="Cambria"/>
          <w:color w:val="000000" w:themeColor="text1"/>
          <w:sz w:val="22"/>
          <w:szCs w:val="22"/>
        </w:rPr>
        <w:instrText xml:space="preserve"> ADDIN ZOTERO_ITEM CSL_CITATION {"citationID":"ekn8Ao9M","properties":{"formattedCitation":"(Sunyoung et al., 2016)","plainCitation":"(Sunyoung et al., 2016)","noteIndex":0},"citationItems":[{"id":1436,"uris":["http://zotero.org/users/4795968/items/RI22NBII"],"uri":["http://zotero.org/users/4795968/items/RI22NBII"],"itemData":{"id":1436,"type":"article-journal","container-title":"Journal of Turkish Science Education","issue":"special","note":"ISBN: 1304-6020","page":"3","title":"The effect of science, technology, engineering and mathematics (STEM) project based learning (PBL) on students’ achievement in four mathematics topics","volume":"13","author":[{"family":"Sunyoung","given":"H. A. N."},{"family":"Rosli","given":"Roslinda"},{"family":"Capraro","given":"Mary M."},{"family":"Capraro","given":"Robert M."}],"issued":{"date-parts":[["2016"]]}}}],"schema":"https://github.com/citation-style-language/schema/raw/master/csl-citation.json"} </w:instrText>
      </w:r>
      <w:r w:rsidR="00845E6F">
        <w:rPr>
          <w:rFonts w:ascii="Cambria" w:hAnsi="Cambria"/>
          <w:color w:val="000000" w:themeColor="text1"/>
          <w:sz w:val="22"/>
          <w:szCs w:val="22"/>
        </w:rPr>
        <w:fldChar w:fldCharType="separate"/>
      </w:r>
      <w:r w:rsidR="00845E6F" w:rsidRPr="00845E6F">
        <w:rPr>
          <w:rFonts w:ascii="Cambria" w:hAnsi="Cambria"/>
          <w:sz w:val="22"/>
        </w:rPr>
        <w:t>(Sunyoung et al., 2016)</w:t>
      </w:r>
      <w:r w:rsidR="00845E6F">
        <w:rPr>
          <w:rFonts w:ascii="Cambria" w:hAnsi="Cambria"/>
          <w:color w:val="000000" w:themeColor="text1"/>
          <w:sz w:val="22"/>
          <w:szCs w:val="22"/>
        </w:rPr>
        <w:fldChar w:fldCharType="end"/>
      </w:r>
      <w:r w:rsidR="001655D2" w:rsidRPr="001655D2">
        <w:rPr>
          <w:rFonts w:ascii="Cambria" w:hAnsi="Cambria"/>
          <w:color w:val="000000" w:themeColor="text1"/>
          <w:sz w:val="22"/>
          <w:szCs w:val="22"/>
        </w:rPr>
        <w:t xml:space="preserve">, enhances literacy and proficiency in science, math, technological engineering </w:t>
      </w:r>
      <w:r w:rsidR="001655D2" w:rsidRPr="001655D2">
        <w:rPr>
          <w:rFonts w:ascii="Cambria" w:hAnsi="Cambria"/>
          <w:color w:val="000000"/>
          <w:sz w:val="22"/>
          <w:szCs w:val="22"/>
        </w:rPr>
        <w:fldChar w:fldCharType="begin" w:fldLock="1"/>
      </w:r>
      <w:r w:rsidR="00746718">
        <w:rPr>
          <w:rFonts w:ascii="Cambria" w:hAnsi="Cambria"/>
          <w:color w:val="000000"/>
          <w:sz w:val="22"/>
          <w:szCs w:val="22"/>
        </w:rPr>
        <w:instrText xml:space="preserve"> ADDIN ZOTERO_ITEM CSL_CITATION {"citationID":"wtT0LdWz","properties":{"formattedCitation":"(Tati et al., 2017)","plainCitation":"(Tati et al., 2017)","noteIndex":0},"citationItems":[{"id":"DvVQWWbP/FYOP4gzC","uris":["http://www.mendeley.com/documents/?uuid=b1da0974-bab2-4a2d-a22d-d7ce46df473d"],"uri":["http://www.mendeley.com/documents/?uuid=b1da0974-bab2-4a2d-a22d-d7ce46df473d"],"itemData":{"author":[{"dropping-particle":"","family":"Tati","given":"T","non-dropping-particle":"","parse-names":false,"suffix":""},{"dropping-particle":"","family":"Firman","given":"H","non-dropping-particle":"","parse-names":false,"suffix":""},{"dropping-particle":"","family":"Riandi","given":"R","non-dropping-particle":"","parse-names":false,"suffix":""}],"container-title":"International Conference on Mathematics and Science Education (ICMScE)","id":"ITEM-1","issued":{"date-parts":[["2017"]]},"page":"1-8","title":"The Effect of STEM Learning through the Project of Designing Boat Model toward Student STEM Literacy","type":"paper-conference"}}],"schema":"https://github.com/citation-style-language/schema/raw/master/csl-citation.json"} </w:instrText>
      </w:r>
      <w:r w:rsidR="001655D2" w:rsidRPr="001655D2">
        <w:rPr>
          <w:rFonts w:ascii="Cambria" w:hAnsi="Cambria"/>
          <w:color w:val="000000"/>
          <w:sz w:val="22"/>
          <w:szCs w:val="22"/>
        </w:rPr>
        <w:fldChar w:fldCharType="separate"/>
      </w:r>
      <w:r w:rsidR="001655D2" w:rsidRPr="001655D2">
        <w:rPr>
          <w:rFonts w:ascii="Cambria" w:hAnsi="Cambria"/>
          <w:sz w:val="22"/>
          <w:szCs w:val="22"/>
        </w:rPr>
        <w:t>(Tati et al., 2017)</w:t>
      </w:r>
      <w:r w:rsidR="001655D2" w:rsidRPr="001655D2">
        <w:rPr>
          <w:rFonts w:ascii="Cambria" w:hAnsi="Cambria"/>
          <w:color w:val="000000"/>
          <w:sz w:val="22"/>
          <w:szCs w:val="22"/>
        </w:rPr>
        <w:fldChar w:fldCharType="end"/>
      </w:r>
      <w:r w:rsidR="001655D2" w:rsidRPr="001655D2">
        <w:rPr>
          <w:rFonts w:ascii="Cambria" w:hAnsi="Cambria"/>
          <w:color w:val="000000"/>
          <w:sz w:val="22"/>
          <w:szCs w:val="22"/>
        </w:rPr>
        <w:t>, and and improves the capacity for thinking and thinking</w:t>
      </w:r>
      <w:r w:rsidR="001655D2" w:rsidRPr="001655D2">
        <w:rPr>
          <w:rFonts w:ascii="Cambria" w:hAnsi="Cambria"/>
          <w:color w:val="000000" w:themeColor="text1"/>
          <w:sz w:val="22"/>
          <w:szCs w:val="22"/>
        </w:rPr>
        <w:t xml:space="preserve"> </w:t>
      </w:r>
      <w:r w:rsidR="001655D2" w:rsidRPr="001655D2">
        <w:rPr>
          <w:rFonts w:ascii="Cambria" w:hAnsi="Cambria"/>
          <w:color w:val="000000"/>
          <w:sz w:val="22"/>
          <w:szCs w:val="22"/>
        </w:rPr>
        <w:fldChar w:fldCharType="begin"/>
      </w:r>
      <w:r w:rsidR="00746718">
        <w:rPr>
          <w:rFonts w:ascii="Cambria" w:hAnsi="Cambria"/>
          <w:color w:val="000000"/>
          <w:sz w:val="22"/>
          <w:szCs w:val="22"/>
        </w:rPr>
        <w:instrText xml:space="preserve"> ADDIN ZOTERO_ITEM CSL_CITATION {"citationID":"GmSYofHM","properties":{"formattedCitation":"(Sari et al., 2019)","plainCitation":"(Sari et al., 2019)","noteIndex":0},"citationItems":[{"id":"DvVQWWbP/Tdsq2naM","uris":["http://zotero.org/users/local/ndX0FRyc/items/2R6VBRJ6"],"uri":["http://zotero.org/users/local/ndX0FRyc/items/2R6VBRJ6"],"itemData":{"id":626,"type":"paper-conference","container-title":"Journal of Physics: Conference Series","ISBN":"1742-6596","note":"issue: 1","page":"012096","publisher":"IOP Publishing","title":"Role of students worksheet in STEM approach to achieve competence of physics learning","volume":"1185","author":[{"family":"Sari","given":"Y. S."},{"family":"Selisne","given":"M."},{"family":"Ramli","given":"R."}],"issued":{"date-parts":[["2019"]]}}}],"schema":"https://github.com/citation-style-language/schema/raw/master/csl-citation.json"} </w:instrText>
      </w:r>
      <w:r w:rsidR="001655D2" w:rsidRPr="001655D2">
        <w:rPr>
          <w:rFonts w:ascii="Cambria" w:hAnsi="Cambria"/>
          <w:color w:val="000000"/>
          <w:sz w:val="22"/>
          <w:szCs w:val="22"/>
        </w:rPr>
        <w:fldChar w:fldCharType="separate"/>
      </w:r>
      <w:r w:rsidR="001655D2" w:rsidRPr="001655D2">
        <w:rPr>
          <w:rFonts w:ascii="Cambria" w:hAnsi="Cambria"/>
          <w:sz w:val="22"/>
          <w:szCs w:val="22"/>
        </w:rPr>
        <w:t>(Sari et al., 2019)</w:t>
      </w:r>
      <w:r w:rsidR="001655D2" w:rsidRPr="001655D2">
        <w:rPr>
          <w:rFonts w:ascii="Cambria" w:hAnsi="Cambria"/>
          <w:color w:val="000000"/>
          <w:sz w:val="22"/>
          <w:szCs w:val="22"/>
        </w:rPr>
        <w:fldChar w:fldCharType="end"/>
      </w:r>
      <w:r w:rsidR="001655D2" w:rsidRPr="001655D2">
        <w:rPr>
          <w:rFonts w:ascii="Cambria" w:hAnsi="Cambria"/>
          <w:color w:val="000000" w:themeColor="text1"/>
          <w:sz w:val="22"/>
          <w:szCs w:val="22"/>
        </w:rPr>
        <w:t>.</w:t>
      </w:r>
      <w:r w:rsidR="00023B94">
        <w:rPr>
          <w:rFonts w:ascii="Cambria" w:hAnsi="Cambria"/>
          <w:color w:val="000000" w:themeColor="text1"/>
          <w:sz w:val="22"/>
          <w:szCs w:val="22"/>
        </w:rPr>
        <w:t xml:space="preserve"> </w:t>
      </w:r>
      <w:r w:rsidR="00023B94" w:rsidRPr="00023B94">
        <w:rPr>
          <w:rFonts w:ascii="Cambria" w:hAnsi="Cambria"/>
          <w:color w:val="000000" w:themeColor="text1"/>
          <w:sz w:val="22"/>
          <w:szCs w:val="22"/>
        </w:rPr>
        <w:t>STEM training influences the achievements of science and mathematics, students are happy about training, wish to see more about it in future courses and can contemplate selecting STEM fields for their future professions</w:t>
      </w:r>
      <w:r w:rsidR="00023B94">
        <w:rPr>
          <w:rFonts w:ascii="Cambria" w:hAnsi="Cambria"/>
          <w:color w:val="000000" w:themeColor="text1"/>
          <w:sz w:val="22"/>
          <w:szCs w:val="22"/>
        </w:rPr>
        <w:t xml:space="preserve"> </w:t>
      </w:r>
      <w:r w:rsidR="00023B94">
        <w:rPr>
          <w:rFonts w:ascii="Cambria" w:hAnsi="Cambria"/>
          <w:color w:val="000000" w:themeColor="text1"/>
          <w:sz w:val="22"/>
          <w:szCs w:val="22"/>
        </w:rPr>
        <w:fldChar w:fldCharType="begin"/>
      </w:r>
      <w:r w:rsidR="00023B94">
        <w:rPr>
          <w:rFonts w:ascii="Cambria" w:hAnsi="Cambria"/>
          <w:color w:val="000000" w:themeColor="text1"/>
          <w:sz w:val="22"/>
          <w:szCs w:val="22"/>
        </w:rPr>
        <w:instrText xml:space="preserve"> ADDIN ZOTERO_ITEM CSL_CITATION {"citationID":"t2n27Oxd","properties":{"formattedCitation":"(Acar et al., 2018)","plainCitation":"(Acar et al., 2018)","noteIndex":0},"citationItems":[{"id":1438,"uris":["http://zotero.org/users/4795968/items/RTGFGFRU"],"uri":["http://zotero.org/users/4795968/items/RTGFGFRU"],"itemData":{"id":1438,"type":"article-journal","container-title":"International Electronic Journal of Elementary Education","issue":"4","note":"ISBN: 1307-9298","page":"505-513","title":"The Effects of STEM Training on the Academic Achievement of 4th Graders in Science and Mathematics and their Views on STEM Training","volume":"10","author":[{"family":"Acar","given":"Dilber"},{"family":"Tertemiz","given":"Neşe"},{"family":"Taşdemir","given":"Adem"}],"issued":{"date-parts":[["2018"]]}}}],"schema":"https://github.com/citation-style-language/schema/raw/master/csl-citation.json"} </w:instrText>
      </w:r>
      <w:r w:rsidR="00023B94">
        <w:rPr>
          <w:rFonts w:ascii="Cambria" w:hAnsi="Cambria"/>
          <w:color w:val="000000" w:themeColor="text1"/>
          <w:sz w:val="22"/>
          <w:szCs w:val="22"/>
        </w:rPr>
        <w:fldChar w:fldCharType="separate"/>
      </w:r>
      <w:r w:rsidR="00023B94" w:rsidRPr="00023B94">
        <w:rPr>
          <w:rFonts w:ascii="Cambria" w:hAnsi="Cambria"/>
          <w:sz w:val="22"/>
        </w:rPr>
        <w:t>(Acar et al., 2018)</w:t>
      </w:r>
      <w:r w:rsidR="00023B94">
        <w:rPr>
          <w:rFonts w:ascii="Cambria" w:hAnsi="Cambria"/>
          <w:color w:val="000000" w:themeColor="text1"/>
          <w:sz w:val="22"/>
          <w:szCs w:val="22"/>
        </w:rPr>
        <w:fldChar w:fldCharType="end"/>
      </w:r>
      <w:r w:rsidR="00023B94" w:rsidRPr="00023B94">
        <w:rPr>
          <w:rFonts w:ascii="Cambria" w:hAnsi="Cambria"/>
          <w:color w:val="000000" w:themeColor="text1"/>
          <w:sz w:val="22"/>
          <w:szCs w:val="22"/>
        </w:rPr>
        <w:t>.</w:t>
      </w:r>
      <w:r w:rsidR="00A37FE3">
        <w:rPr>
          <w:rFonts w:ascii="Cambria" w:hAnsi="Cambria"/>
          <w:color w:val="000000" w:themeColor="text1"/>
          <w:sz w:val="22"/>
          <w:szCs w:val="22"/>
        </w:rPr>
        <w:t xml:space="preserve"> These results suggest to develop STEM learning in th</w:t>
      </w:r>
      <w:r w:rsidR="005F4420">
        <w:rPr>
          <w:rFonts w:ascii="Cambria" w:hAnsi="Cambria"/>
          <w:color w:val="000000" w:themeColor="text1"/>
          <w:sz w:val="22"/>
          <w:szCs w:val="22"/>
        </w:rPr>
        <w:t>e</w:t>
      </w:r>
      <w:r w:rsidR="00A37FE3">
        <w:rPr>
          <w:rFonts w:ascii="Cambria" w:hAnsi="Cambria"/>
          <w:color w:val="000000" w:themeColor="text1"/>
          <w:sz w:val="22"/>
          <w:szCs w:val="22"/>
        </w:rPr>
        <w:t xml:space="preserve"> future. </w:t>
      </w:r>
      <w:r w:rsidR="005F4420">
        <w:rPr>
          <w:rFonts w:ascii="Cambria" w:hAnsi="Cambria"/>
          <w:color w:val="000000" w:themeColor="text1"/>
          <w:sz w:val="22"/>
          <w:szCs w:val="22"/>
        </w:rPr>
        <w:t xml:space="preserve">In addition, </w:t>
      </w:r>
      <w:r w:rsidR="002E39C1">
        <w:rPr>
          <w:rFonts w:ascii="Cambria" w:hAnsi="Cambria"/>
          <w:color w:val="000000" w:themeColor="text1"/>
          <w:sz w:val="22"/>
          <w:szCs w:val="22"/>
        </w:rPr>
        <w:t>t</w:t>
      </w:r>
      <w:r w:rsidR="005F4420" w:rsidRPr="005F4420">
        <w:rPr>
          <w:rFonts w:ascii="Cambria" w:hAnsi="Cambria"/>
          <w:color w:val="000000" w:themeColor="text1"/>
          <w:sz w:val="22"/>
          <w:szCs w:val="22"/>
        </w:rPr>
        <w:t>he findings of this meta-analytic study are encouraging, with STEM programs having a positive and statistically significant overall effect on students' mathematics achievement</w:t>
      </w:r>
      <w:r w:rsidR="002E39C1">
        <w:rPr>
          <w:rFonts w:ascii="Cambria" w:hAnsi="Cambria"/>
          <w:color w:val="000000" w:themeColor="text1"/>
          <w:sz w:val="22"/>
          <w:szCs w:val="22"/>
        </w:rPr>
        <w:t xml:space="preserve"> </w:t>
      </w:r>
      <w:r w:rsidR="002E39C1">
        <w:rPr>
          <w:rFonts w:ascii="Cambria" w:hAnsi="Cambria"/>
          <w:color w:val="000000" w:themeColor="text1"/>
          <w:sz w:val="22"/>
          <w:szCs w:val="22"/>
        </w:rPr>
        <w:fldChar w:fldCharType="begin"/>
      </w:r>
      <w:r w:rsidR="002E39C1">
        <w:rPr>
          <w:rFonts w:ascii="Cambria" w:hAnsi="Cambria"/>
          <w:color w:val="000000" w:themeColor="text1"/>
          <w:sz w:val="22"/>
          <w:szCs w:val="22"/>
        </w:rPr>
        <w:instrText xml:space="preserve"> ADDIN ZOTERO_ITEM CSL_CITATION {"citationID":"Q3mZsXRO","properties":{"formattedCitation":"(Siregar et al., 2019)","plainCitation":"(Siregar et al., 2019)","noteIndex":0},"citationItems":[{"id":1439,"uris":["http://zotero.org/users/4795968/items/8HTS247Z"],"uri":["http://zotero.org/users/4795968/items/8HTS247Z"],"itemData":{"id":1439,"type":"article-journal","container-title":"International Electronic Journal of Mathematics Education","issue":"1","note":"ISBN: 1306-3030\npublisher: Modestum Publishing LTD","page":"em0549","title":"The effect of science, technology, engineering and mathematics (STEM) program on students’ achievement in mathematics: A meta-analysis","volume":"15","author":[{"family":"Siregar","given":"Nur Choiro"},{"family":"Rosli","given":"Roslinda"},{"family":"Maat","given":"Siti Mistima"},{"family":"Capraro","given":"Mary Margaret"}],"issued":{"date-parts":[["2019"]]}}}],"schema":"https://github.com/citation-style-language/schema/raw/master/csl-citation.json"} </w:instrText>
      </w:r>
      <w:r w:rsidR="002E39C1">
        <w:rPr>
          <w:rFonts w:ascii="Cambria" w:hAnsi="Cambria"/>
          <w:color w:val="000000" w:themeColor="text1"/>
          <w:sz w:val="22"/>
          <w:szCs w:val="22"/>
        </w:rPr>
        <w:fldChar w:fldCharType="separate"/>
      </w:r>
      <w:r w:rsidR="002E39C1" w:rsidRPr="002E39C1">
        <w:rPr>
          <w:rFonts w:ascii="Cambria" w:hAnsi="Cambria"/>
          <w:sz w:val="22"/>
        </w:rPr>
        <w:t>(Siregar et al., 2019)</w:t>
      </w:r>
      <w:r w:rsidR="002E39C1">
        <w:rPr>
          <w:rFonts w:ascii="Cambria" w:hAnsi="Cambria"/>
          <w:color w:val="000000" w:themeColor="text1"/>
          <w:sz w:val="22"/>
          <w:szCs w:val="22"/>
        </w:rPr>
        <w:fldChar w:fldCharType="end"/>
      </w:r>
      <w:r w:rsidR="005F4420" w:rsidRPr="005F4420">
        <w:rPr>
          <w:rFonts w:ascii="Cambria" w:hAnsi="Cambria"/>
          <w:color w:val="000000" w:themeColor="text1"/>
          <w:sz w:val="22"/>
          <w:szCs w:val="22"/>
        </w:rPr>
        <w:t>.</w:t>
      </w:r>
      <w:r w:rsidR="002E39C1">
        <w:rPr>
          <w:rFonts w:ascii="Cambria" w:hAnsi="Cambria"/>
          <w:color w:val="000000" w:themeColor="text1"/>
          <w:sz w:val="22"/>
          <w:szCs w:val="22"/>
        </w:rPr>
        <w:t xml:space="preserve"> </w:t>
      </w:r>
      <w:r w:rsidR="002E39C1" w:rsidRPr="002E39C1">
        <w:rPr>
          <w:rFonts w:ascii="Cambria" w:hAnsi="Cambria"/>
          <w:color w:val="000000" w:themeColor="text1"/>
          <w:sz w:val="22"/>
          <w:szCs w:val="22"/>
        </w:rPr>
        <w:t>This meta-analysis study shows the limitations. Some studies did not provide relevant information for calculating the effect size and did not provide detailed information about the Studies' STEM program. Also, there were no explicit or systematic results presented in the selected studies.</w:t>
      </w:r>
      <w:r w:rsidR="003644BF">
        <w:rPr>
          <w:rFonts w:ascii="Cambria" w:hAnsi="Cambria"/>
          <w:color w:val="000000" w:themeColor="text1"/>
          <w:sz w:val="22"/>
          <w:szCs w:val="22"/>
        </w:rPr>
        <w:t xml:space="preserve"> </w:t>
      </w:r>
      <w:r w:rsidR="003644BF" w:rsidRPr="003644BF">
        <w:rPr>
          <w:rFonts w:ascii="Cambria" w:hAnsi="Cambria"/>
          <w:color w:val="000000" w:themeColor="text1"/>
          <w:sz w:val="22"/>
          <w:szCs w:val="22"/>
        </w:rPr>
        <w:t>Based on the previous article, STEM students' critical thinking skills and the gender applied to the 2013 curriculum are effectively assessed by this research update. A more efficient learning model will increase mathematical thinking skills significantly. The research aims to assess the mathematical abilities of gender-based critical thinking using STEM</w:t>
      </w:r>
      <w:r w:rsidR="00397186">
        <w:rPr>
          <w:rFonts w:ascii="Cambria" w:hAnsi="Cambria"/>
          <w:color w:val="000000" w:themeColor="text1"/>
          <w:sz w:val="22"/>
          <w:szCs w:val="22"/>
        </w:rPr>
        <w:t xml:space="preserve"> through technological integration</w:t>
      </w:r>
      <w:r w:rsidR="003644BF" w:rsidRPr="003644BF">
        <w:rPr>
          <w:rFonts w:ascii="Cambria" w:hAnsi="Cambria"/>
          <w:color w:val="000000" w:themeColor="text1"/>
          <w:sz w:val="22"/>
          <w:szCs w:val="22"/>
        </w:rPr>
        <w:t>.</w:t>
      </w:r>
    </w:p>
    <w:p w14:paraId="61F65BDC" w14:textId="77777777" w:rsidR="00673D40" w:rsidRPr="00331F01" w:rsidRDefault="00673D40" w:rsidP="00331F01">
      <w:pPr>
        <w:autoSpaceDE w:val="0"/>
        <w:ind w:firstLine="567"/>
        <w:jc w:val="both"/>
        <w:rPr>
          <w:rFonts w:ascii="Cambria" w:hAnsi="Cambria"/>
          <w:bCs/>
          <w:color w:val="000000"/>
          <w:sz w:val="22"/>
          <w:szCs w:val="22"/>
        </w:rPr>
      </w:pPr>
    </w:p>
    <w:p w14:paraId="6DCCBB76" w14:textId="5C4A945B" w:rsidR="00047F0E" w:rsidRPr="00DC488A" w:rsidRDefault="008406D3" w:rsidP="00DC488A">
      <w:pPr>
        <w:autoSpaceDE w:val="0"/>
        <w:spacing w:after="120"/>
        <w:jc w:val="center"/>
        <w:rPr>
          <w:rFonts w:ascii="Cambria" w:hAnsi="Cambria"/>
          <w:b/>
          <w:color w:val="000000"/>
        </w:rPr>
      </w:pPr>
      <w:r w:rsidRPr="00DC488A">
        <w:rPr>
          <w:rFonts w:ascii="Cambria" w:hAnsi="Cambria"/>
          <w:b/>
          <w:color w:val="000000"/>
        </w:rPr>
        <w:t>M</w:t>
      </w:r>
      <w:r w:rsidR="00DC488A">
        <w:rPr>
          <w:rFonts w:ascii="Cambria" w:hAnsi="Cambria"/>
          <w:b/>
          <w:color w:val="000000"/>
        </w:rPr>
        <w:t>ETHOD</w:t>
      </w:r>
    </w:p>
    <w:p w14:paraId="49FC0C52" w14:textId="55CBC0DF" w:rsidR="00E22D6C" w:rsidRDefault="00E22D6C" w:rsidP="00E22D6C">
      <w:pPr>
        <w:autoSpaceDE w:val="0"/>
        <w:ind w:firstLine="567"/>
        <w:jc w:val="both"/>
        <w:rPr>
          <w:rFonts w:ascii="Cambria" w:hAnsi="Cambria"/>
          <w:sz w:val="22"/>
          <w:szCs w:val="22"/>
          <w:lang w:val="en-GB"/>
        </w:rPr>
      </w:pPr>
      <w:r w:rsidRPr="00E22D6C">
        <w:rPr>
          <w:rFonts w:ascii="Cambria" w:hAnsi="Cambria"/>
          <w:sz w:val="22"/>
          <w:szCs w:val="22"/>
          <w:lang w:val="en-GB"/>
        </w:rPr>
        <w:t>A quasi-experimental design with a 2 x 2 factorial design was used in this study. The following table depicts the research design.</w:t>
      </w:r>
    </w:p>
    <w:p w14:paraId="04B31E2E" w14:textId="77777777" w:rsidR="00B07EF5" w:rsidRPr="00E22D6C" w:rsidRDefault="00B07EF5" w:rsidP="00E22D6C">
      <w:pPr>
        <w:autoSpaceDE w:val="0"/>
        <w:ind w:firstLine="567"/>
        <w:jc w:val="both"/>
        <w:rPr>
          <w:rFonts w:ascii="Cambria" w:hAnsi="Cambria"/>
          <w:sz w:val="22"/>
          <w:szCs w:val="22"/>
          <w:lang w:val="id-ID"/>
        </w:rPr>
      </w:pPr>
    </w:p>
    <w:p w14:paraId="27DDE173" w14:textId="3A238ADF" w:rsidR="00513E63" w:rsidRPr="00513E63" w:rsidRDefault="00B07EF5" w:rsidP="00513E63">
      <w:pPr>
        <w:spacing w:line="276" w:lineRule="auto"/>
        <w:jc w:val="center"/>
        <w:rPr>
          <w:rFonts w:ascii="Cambria" w:hAnsi="Cambria"/>
          <w:b/>
          <w:bCs/>
          <w:iCs/>
          <w:color w:val="000000" w:themeColor="text1"/>
          <w:sz w:val="22"/>
          <w:szCs w:val="22"/>
        </w:rPr>
      </w:pPr>
      <w:r>
        <w:rPr>
          <w:rFonts w:ascii="Cambria" w:hAnsi="Cambria"/>
          <w:b/>
          <w:bCs/>
          <w:iCs/>
          <w:color w:val="000000" w:themeColor="text1"/>
          <w:sz w:val="22"/>
          <w:szCs w:val="22"/>
        </w:rPr>
        <w:t xml:space="preserve">Table </w:t>
      </w:r>
      <w:r w:rsidR="00513E63" w:rsidRPr="00513E63">
        <w:rPr>
          <w:rFonts w:ascii="Cambria" w:hAnsi="Cambria"/>
          <w:b/>
          <w:bCs/>
          <w:iCs/>
          <w:color w:val="000000" w:themeColor="text1"/>
          <w:sz w:val="22"/>
          <w:szCs w:val="22"/>
        </w:rPr>
        <w:t xml:space="preserve">1. </w:t>
      </w:r>
      <w:r w:rsidRPr="009C42ED">
        <w:rPr>
          <w:rFonts w:ascii="Cambria" w:hAnsi="Cambria"/>
          <w:bCs/>
          <w:iCs/>
          <w:color w:val="000000" w:themeColor="text1"/>
          <w:sz w:val="22"/>
          <w:szCs w:val="22"/>
        </w:rPr>
        <w:t>R</w:t>
      </w:r>
      <w:r w:rsidRPr="00B07EF5">
        <w:rPr>
          <w:rFonts w:ascii="Cambria" w:hAnsi="Cambria"/>
          <w:bCs/>
          <w:iCs/>
          <w:color w:val="000000" w:themeColor="text1"/>
          <w:sz w:val="22"/>
          <w:szCs w:val="22"/>
        </w:rPr>
        <w:t>esearch</w:t>
      </w:r>
      <w:r w:rsidR="00A60626">
        <w:rPr>
          <w:rFonts w:ascii="Cambria" w:hAnsi="Cambria"/>
          <w:bCs/>
          <w:iCs/>
          <w:color w:val="000000" w:themeColor="text1"/>
          <w:sz w:val="22"/>
          <w:szCs w:val="22"/>
        </w:rPr>
        <w:t xml:space="preserve"> factorial</w:t>
      </w:r>
      <w:r w:rsidRPr="00B07EF5">
        <w:rPr>
          <w:rFonts w:ascii="Cambria" w:hAnsi="Cambria"/>
          <w:bCs/>
          <w:iCs/>
          <w:color w:val="000000" w:themeColor="text1"/>
          <w:sz w:val="22"/>
          <w:szCs w:val="22"/>
        </w:rPr>
        <w:t xml:space="preserve"> design</w:t>
      </w:r>
    </w:p>
    <w:tbl>
      <w:tblPr>
        <w:tblStyle w:val="TableGrid"/>
        <w:tblW w:w="0" w:type="auto"/>
        <w:jc w:val="center"/>
        <w:tblLook w:val="04A0" w:firstRow="1" w:lastRow="0" w:firstColumn="1" w:lastColumn="0" w:noHBand="0" w:noVBand="1"/>
      </w:tblPr>
      <w:tblGrid>
        <w:gridCol w:w="5211"/>
        <w:gridCol w:w="1418"/>
        <w:gridCol w:w="1559"/>
      </w:tblGrid>
      <w:tr w:rsidR="00D66EA5" w:rsidRPr="003D49C3" w14:paraId="390A7905" w14:textId="77777777" w:rsidTr="003B1656">
        <w:trPr>
          <w:trHeight w:val="602"/>
          <w:jc w:val="center"/>
        </w:trPr>
        <w:tc>
          <w:tcPr>
            <w:tcW w:w="5211" w:type="dxa"/>
            <w:tcBorders>
              <w:top w:val="single" w:sz="4" w:space="0" w:color="auto"/>
              <w:left w:val="nil"/>
              <w:bottom w:val="single" w:sz="4" w:space="0" w:color="auto"/>
              <w:right w:val="nil"/>
              <w:tl2br w:val="single" w:sz="4" w:space="0" w:color="auto"/>
            </w:tcBorders>
            <w:vAlign w:val="center"/>
          </w:tcPr>
          <w:p w14:paraId="31EF7E74" w14:textId="7CF9EF1F" w:rsidR="00D66EA5" w:rsidRPr="002D1225" w:rsidRDefault="00D66EA5" w:rsidP="00D66EA5">
            <w:pPr>
              <w:tabs>
                <w:tab w:val="left" w:pos="2268"/>
              </w:tabs>
              <w:spacing w:line="276" w:lineRule="auto"/>
              <w:jc w:val="both"/>
              <w:rPr>
                <w:rFonts w:ascii="Garamond" w:hAnsi="Garamond"/>
                <w:b/>
                <w:color w:val="000000" w:themeColor="text1"/>
              </w:rPr>
            </w:pPr>
            <w:r>
              <w:rPr>
                <w:rFonts w:ascii="Garamond" w:hAnsi="Garamond"/>
                <w:b/>
                <w:color w:val="000000" w:themeColor="text1"/>
              </w:rPr>
              <w:t xml:space="preserve">                                                             </w:t>
            </w:r>
            <w:r w:rsidRPr="002D1225">
              <w:rPr>
                <w:rFonts w:ascii="Garamond" w:hAnsi="Garamond"/>
                <w:b/>
                <w:color w:val="000000" w:themeColor="text1"/>
              </w:rPr>
              <w:t>Gender (</w:t>
            </w:r>
            <m:oMath>
              <m:sSub>
                <m:sSubPr>
                  <m:ctrlPr>
                    <w:rPr>
                      <w:rFonts w:ascii="Cambria Math" w:hAnsi="Cambria Math"/>
                      <w:b/>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i</m:t>
                  </m:r>
                </m:sub>
              </m:sSub>
              <m:r>
                <m:rPr>
                  <m:sty m:val="bi"/>
                </m:rPr>
                <w:rPr>
                  <w:rFonts w:ascii="Cambria Math" w:hAnsi="Cambria Math"/>
                  <w:color w:val="000000" w:themeColor="text1"/>
                </w:rPr>
                <m:t>)</m:t>
              </m:r>
            </m:oMath>
          </w:p>
          <w:p w14:paraId="4BD2F9AA" w14:textId="77777777" w:rsidR="00D66EA5" w:rsidRPr="002D1225" w:rsidRDefault="00D66EA5" w:rsidP="00D66EA5">
            <w:pPr>
              <w:tabs>
                <w:tab w:val="left" w:pos="1710"/>
              </w:tabs>
              <w:spacing w:line="276" w:lineRule="auto"/>
              <w:jc w:val="both"/>
              <w:rPr>
                <w:rFonts w:ascii="Garamond" w:hAnsi="Garamond"/>
                <w:b/>
                <w:color w:val="000000" w:themeColor="text1"/>
              </w:rPr>
            </w:pPr>
          </w:p>
          <w:p w14:paraId="77C0BA35" w14:textId="09872B8F" w:rsidR="00D66EA5" w:rsidRPr="002D1225" w:rsidRDefault="00D66EA5" w:rsidP="00D66EA5">
            <w:pPr>
              <w:spacing w:line="276" w:lineRule="auto"/>
              <w:jc w:val="both"/>
              <w:rPr>
                <w:rFonts w:ascii="Garamond" w:hAnsi="Garamond"/>
                <w:b/>
                <w:color w:val="000000" w:themeColor="text1"/>
              </w:rPr>
            </w:pPr>
            <w:r>
              <w:rPr>
                <w:rFonts w:ascii="Garamond" w:hAnsi="Garamond"/>
                <w:b/>
                <w:color w:val="000000" w:themeColor="text1"/>
              </w:rPr>
              <w:t>Learning Models</w:t>
            </w:r>
            <w:r w:rsidRPr="002D1225">
              <w:rPr>
                <w:rFonts w:ascii="Garamond" w:hAnsi="Garamond"/>
                <w:b/>
                <w:color w:val="000000" w:themeColor="text1"/>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i</m:t>
                  </m:r>
                </m:sub>
              </m:sSub>
              <m:r>
                <m:rPr>
                  <m:sty m:val="bi"/>
                </m:rPr>
                <w:rPr>
                  <w:rFonts w:ascii="Cambria Math" w:hAnsi="Cambria Math"/>
                  <w:color w:val="000000" w:themeColor="text1"/>
                </w:rPr>
                <m:t>)</m:t>
              </m:r>
            </m:oMath>
          </w:p>
        </w:tc>
        <w:tc>
          <w:tcPr>
            <w:tcW w:w="1418" w:type="dxa"/>
            <w:tcBorders>
              <w:top w:val="single" w:sz="4" w:space="0" w:color="auto"/>
              <w:left w:val="nil"/>
              <w:bottom w:val="single" w:sz="4" w:space="0" w:color="auto"/>
              <w:right w:val="nil"/>
            </w:tcBorders>
            <w:vAlign w:val="center"/>
          </w:tcPr>
          <w:p w14:paraId="22A29726" w14:textId="77CBFF39" w:rsidR="00D66EA5" w:rsidRPr="002D1225" w:rsidRDefault="00D66EA5" w:rsidP="00D66EA5">
            <w:pPr>
              <w:spacing w:line="276" w:lineRule="auto"/>
              <w:jc w:val="center"/>
              <w:rPr>
                <w:rFonts w:ascii="Garamond" w:hAnsi="Garamond"/>
                <w:b/>
                <w:color w:val="000000" w:themeColor="text1"/>
              </w:rPr>
            </w:pPr>
            <w:r>
              <w:rPr>
                <w:rFonts w:ascii="Cambria" w:hAnsi="Cambria"/>
                <w:b/>
                <w:color w:val="000000" w:themeColor="text1"/>
                <w:sz w:val="22"/>
                <w:szCs w:val="22"/>
              </w:rPr>
              <w:t xml:space="preserve">Male </w:t>
            </w:r>
            <w:r w:rsidRPr="00513E63">
              <w:rPr>
                <w:rFonts w:ascii="Cambria" w:hAnsi="Cambria"/>
                <w:bCs/>
                <w:color w:val="000000" w:themeColor="text1"/>
                <w:sz w:val="22"/>
                <w:szCs w:val="22"/>
              </w:rPr>
              <w:t>(</w:t>
            </w:r>
            <m:oMath>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1</m:t>
                  </m:r>
                </m:sub>
              </m:sSub>
              <m:r>
                <w:rPr>
                  <w:rFonts w:ascii="Cambria Math" w:hAnsi="Cambria Math"/>
                  <w:color w:val="000000" w:themeColor="text1"/>
                  <w:sz w:val="22"/>
                  <w:szCs w:val="22"/>
                </w:rPr>
                <m:t>)</m:t>
              </m:r>
            </m:oMath>
          </w:p>
        </w:tc>
        <w:tc>
          <w:tcPr>
            <w:tcW w:w="1559" w:type="dxa"/>
            <w:tcBorders>
              <w:top w:val="single" w:sz="4" w:space="0" w:color="auto"/>
              <w:left w:val="nil"/>
              <w:bottom w:val="single" w:sz="4" w:space="0" w:color="auto"/>
              <w:right w:val="nil"/>
            </w:tcBorders>
            <w:vAlign w:val="center"/>
          </w:tcPr>
          <w:p w14:paraId="10F8EF8C" w14:textId="118822FA" w:rsidR="00D66EA5" w:rsidRPr="002D1225" w:rsidRDefault="00D66EA5" w:rsidP="00D66EA5">
            <w:pPr>
              <w:spacing w:line="276" w:lineRule="auto"/>
              <w:jc w:val="center"/>
              <w:rPr>
                <w:rFonts w:ascii="Garamond" w:hAnsi="Garamond"/>
                <w:b/>
                <w:color w:val="000000" w:themeColor="text1"/>
              </w:rPr>
            </w:pPr>
            <w:r>
              <w:rPr>
                <w:rFonts w:ascii="Cambria" w:hAnsi="Cambria"/>
                <w:b/>
                <w:color w:val="000000" w:themeColor="text1"/>
                <w:sz w:val="22"/>
                <w:szCs w:val="22"/>
              </w:rPr>
              <w:t xml:space="preserve">Female </w:t>
            </w:r>
            <w:r w:rsidRPr="00513E63">
              <w:rPr>
                <w:rFonts w:ascii="Cambria" w:hAnsi="Cambria"/>
                <w:bCs/>
                <w:color w:val="000000" w:themeColor="text1"/>
                <w:sz w:val="22"/>
                <w:szCs w:val="22"/>
              </w:rPr>
              <w:t>(</w:t>
            </w:r>
            <m:oMath>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2</m:t>
                  </m:r>
                </m:sub>
              </m:sSub>
              <m:r>
                <w:rPr>
                  <w:rFonts w:ascii="Cambria Math" w:hAnsi="Cambria Math"/>
                  <w:color w:val="000000" w:themeColor="text1"/>
                  <w:sz w:val="22"/>
                  <w:szCs w:val="22"/>
                </w:rPr>
                <m:t>)</m:t>
              </m:r>
            </m:oMath>
          </w:p>
        </w:tc>
      </w:tr>
      <w:tr w:rsidR="00D66EA5" w:rsidRPr="003D49C3" w14:paraId="71F41DF3" w14:textId="77777777" w:rsidTr="003B1656">
        <w:trPr>
          <w:jc w:val="center"/>
        </w:trPr>
        <w:tc>
          <w:tcPr>
            <w:tcW w:w="5211" w:type="dxa"/>
            <w:tcBorders>
              <w:top w:val="single" w:sz="4" w:space="0" w:color="auto"/>
              <w:left w:val="nil"/>
              <w:bottom w:val="nil"/>
              <w:right w:val="nil"/>
            </w:tcBorders>
          </w:tcPr>
          <w:p w14:paraId="61D18044" w14:textId="7FF69C7C" w:rsidR="00D66EA5" w:rsidRPr="002D1225" w:rsidRDefault="00D66EA5" w:rsidP="00D66EA5">
            <w:pPr>
              <w:spacing w:line="276" w:lineRule="auto"/>
              <w:jc w:val="both"/>
              <w:rPr>
                <w:rFonts w:ascii="Garamond" w:hAnsi="Garamond"/>
                <w:bCs/>
                <w:color w:val="000000" w:themeColor="text1"/>
              </w:rPr>
            </w:pPr>
            <w:r w:rsidRPr="00513E63">
              <w:rPr>
                <w:rFonts w:ascii="Cambria" w:hAnsi="Cambria"/>
                <w:color w:val="000000" w:themeColor="text1"/>
                <w:sz w:val="22"/>
                <w:szCs w:val="22"/>
              </w:rPr>
              <w:t>STEM</w:t>
            </w:r>
            <w:r w:rsidRPr="00513E63">
              <w:rPr>
                <w:rFonts w:ascii="Cambria" w:hAnsi="Cambria"/>
                <w:bCs/>
                <w:color w:val="000000" w:themeColor="text1"/>
                <w:sz w:val="22"/>
                <w:szCs w:val="22"/>
              </w:rPr>
              <w:t xml:space="preserve"> </w:t>
            </w:r>
            <w:r>
              <w:rPr>
                <w:rFonts w:ascii="Cambria" w:hAnsi="Cambria"/>
                <w:bCs/>
                <w:color w:val="000000" w:themeColor="text1"/>
                <w:sz w:val="22"/>
                <w:szCs w:val="22"/>
              </w:rPr>
              <w:t xml:space="preserve">model </w:t>
            </w:r>
            <w:r w:rsidRPr="00513E63">
              <w:rPr>
                <w:rFonts w:ascii="Cambria" w:hAnsi="Cambria"/>
                <w:bCs/>
                <w:color w:val="000000" w:themeColor="text1"/>
                <w:sz w:val="22"/>
                <w:szCs w:val="22"/>
              </w:rPr>
              <w:t>(</w:t>
            </w:r>
            <m:oMath>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oMath>
          </w:p>
        </w:tc>
        <w:tc>
          <w:tcPr>
            <w:tcW w:w="1418" w:type="dxa"/>
            <w:tcBorders>
              <w:top w:val="single" w:sz="4" w:space="0" w:color="auto"/>
              <w:left w:val="nil"/>
              <w:bottom w:val="nil"/>
              <w:right w:val="nil"/>
            </w:tcBorders>
          </w:tcPr>
          <w:p w14:paraId="3D32AD89" w14:textId="77777777" w:rsidR="00D66EA5" w:rsidRPr="002D1225" w:rsidRDefault="00F41EA2" w:rsidP="00D66EA5">
            <w:pPr>
              <w:spacing w:line="276" w:lineRule="auto"/>
              <w:jc w:val="center"/>
              <w:rPr>
                <w:rFonts w:ascii="Garamond" w:hAnsi="Garamond"/>
                <w:bCs/>
                <w:color w:val="000000" w:themeColor="text1"/>
              </w:rPr>
            </w:pPr>
            <m:oMathPara>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bCs/>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oMath>
            </m:oMathPara>
          </w:p>
        </w:tc>
        <w:tc>
          <w:tcPr>
            <w:tcW w:w="1559" w:type="dxa"/>
            <w:tcBorders>
              <w:top w:val="single" w:sz="4" w:space="0" w:color="auto"/>
              <w:left w:val="nil"/>
              <w:bottom w:val="nil"/>
              <w:right w:val="nil"/>
            </w:tcBorders>
          </w:tcPr>
          <w:p w14:paraId="5C382BC5" w14:textId="77777777" w:rsidR="00D66EA5" w:rsidRPr="002D1225" w:rsidRDefault="00F41EA2" w:rsidP="00D66EA5">
            <w:pPr>
              <w:spacing w:line="276" w:lineRule="auto"/>
              <w:jc w:val="center"/>
              <w:rPr>
                <w:rFonts w:ascii="Garamond" w:hAnsi="Garamond"/>
                <w:bCs/>
                <w:color w:val="000000" w:themeColor="text1"/>
              </w:rPr>
            </w:pPr>
            <m:oMathPara>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sSub>
                  <m:sSubPr>
                    <m:ctrlPr>
                      <w:rPr>
                        <w:rFonts w:ascii="Cambria Math" w:hAnsi="Cambria Math"/>
                        <w:bCs/>
                        <w:i/>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oMath>
            </m:oMathPara>
          </w:p>
        </w:tc>
      </w:tr>
      <w:tr w:rsidR="00D66EA5" w:rsidRPr="003D49C3" w14:paraId="69AB71D7" w14:textId="77777777" w:rsidTr="003B1656">
        <w:trPr>
          <w:jc w:val="center"/>
        </w:trPr>
        <w:tc>
          <w:tcPr>
            <w:tcW w:w="5211" w:type="dxa"/>
            <w:tcBorders>
              <w:top w:val="nil"/>
              <w:left w:val="nil"/>
              <w:bottom w:val="single" w:sz="4" w:space="0" w:color="auto"/>
              <w:right w:val="nil"/>
            </w:tcBorders>
          </w:tcPr>
          <w:p w14:paraId="3D2DD702" w14:textId="117A5D05" w:rsidR="00D66EA5" w:rsidRPr="002D1225" w:rsidRDefault="00D66EA5" w:rsidP="00D66EA5">
            <w:pPr>
              <w:spacing w:line="276" w:lineRule="auto"/>
              <w:jc w:val="both"/>
              <w:rPr>
                <w:rFonts w:ascii="Garamond" w:hAnsi="Garamond"/>
                <w:bCs/>
                <w:color w:val="000000" w:themeColor="text1"/>
              </w:rPr>
            </w:pPr>
            <w:r>
              <w:rPr>
                <w:rFonts w:ascii="Garamond" w:hAnsi="Garamond"/>
                <w:color w:val="000000" w:themeColor="text1"/>
              </w:rPr>
              <w:t xml:space="preserve">Conventional/Expository </w:t>
            </w:r>
            <w:r w:rsidRPr="002D1225">
              <w:rPr>
                <w:rFonts w:ascii="Garamond" w:hAnsi="Garamond"/>
                <w:bCs/>
                <w:color w:val="000000" w:themeColor="text1"/>
              </w:rPr>
              <w:t>(</w:t>
            </w:r>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oMath>
          </w:p>
        </w:tc>
        <w:tc>
          <w:tcPr>
            <w:tcW w:w="1418" w:type="dxa"/>
            <w:tcBorders>
              <w:top w:val="nil"/>
              <w:left w:val="nil"/>
              <w:bottom w:val="single" w:sz="4" w:space="0" w:color="auto"/>
              <w:right w:val="nil"/>
            </w:tcBorders>
          </w:tcPr>
          <w:p w14:paraId="229E3894" w14:textId="77777777" w:rsidR="00D66EA5" w:rsidRPr="002D1225" w:rsidRDefault="00F41EA2" w:rsidP="00D66EA5">
            <w:pPr>
              <w:spacing w:line="276" w:lineRule="auto"/>
              <w:jc w:val="center"/>
              <w:rPr>
                <w:rFonts w:ascii="Garamond" w:hAnsi="Garamond"/>
                <w:bCs/>
                <w:color w:val="000000" w:themeColor="text1"/>
              </w:rPr>
            </w:pPr>
            <m:oMathPara>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bCs/>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oMath>
            </m:oMathPara>
          </w:p>
        </w:tc>
        <w:tc>
          <w:tcPr>
            <w:tcW w:w="1559" w:type="dxa"/>
            <w:tcBorders>
              <w:top w:val="nil"/>
              <w:left w:val="nil"/>
              <w:bottom w:val="single" w:sz="4" w:space="0" w:color="auto"/>
              <w:right w:val="nil"/>
            </w:tcBorders>
          </w:tcPr>
          <w:p w14:paraId="2AED38DE" w14:textId="77777777" w:rsidR="00D66EA5" w:rsidRPr="002D1225" w:rsidRDefault="00F41EA2" w:rsidP="00D66EA5">
            <w:pPr>
              <w:spacing w:line="276" w:lineRule="auto"/>
              <w:jc w:val="center"/>
              <w:rPr>
                <w:rFonts w:ascii="Garamond" w:hAnsi="Garamond"/>
                <w:bCs/>
                <w:color w:val="000000" w:themeColor="text1"/>
              </w:rPr>
            </w:pPr>
            <m:oMathPara>
              <m:oMath>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sSub>
                  <m:sSubPr>
                    <m:ctrlPr>
                      <w:rPr>
                        <w:rFonts w:ascii="Cambria Math" w:hAnsi="Cambria Math"/>
                        <w:bCs/>
                        <w:i/>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oMath>
            </m:oMathPara>
          </w:p>
        </w:tc>
      </w:tr>
    </w:tbl>
    <w:p w14:paraId="0C3D9B4C" w14:textId="3903AA08" w:rsidR="00D66EA5" w:rsidRDefault="00D66EA5" w:rsidP="00755763">
      <w:pPr>
        <w:autoSpaceDE w:val="0"/>
        <w:jc w:val="both"/>
        <w:rPr>
          <w:rFonts w:ascii="Cambria" w:hAnsi="Cambria"/>
          <w:sz w:val="22"/>
          <w:szCs w:val="22"/>
          <w:lang w:val="en-GB"/>
        </w:rPr>
      </w:pPr>
    </w:p>
    <w:p w14:paraId="397D9075" w14:textId="73E64FE8" w:rsidR="00513E63" w:rsidRDefault="009C42ED" w:rsidP="009C42ED">
      <w:pPr>
        <w:autoSpaceDE w:val="0"/>
        <w:ind w:firstLine="720"/>
        <w:jc w:val="both"/>
        <w:rPr>
          <w:rFonts w:ascii="Cambria" w:hAnsi="Cambria"/>
          <w:sz w:val="22"/>
          <w:szCs w:val="22"/>
          <w:lang w:val="en-GB"/>
        </w:rPr>
      </w:pPr>
      <w:r w:rsidRPr="009C42ED">
        <w:rPr>
          <w:rFonts w:ascii="Cambria" w:hAnsi="Cambria"/>
          <w:sz w:val="22"/>
          <w:szCs w:val="22"/>
          <w:lang w:val="en-GB"/>
        </w:rPr>
        <w:t xml:space="preserve">All students at SMK </w:t>
      </w:r>
      <w:r w:rsidR="004D6D36">
        <w:rPr>
          <w:rFonts w:ascii="Cambria" w:hAnsi="Cambria"/>
          <w:sz w:val="22"/>
          <w:szCs w:val="22"/>
          <w:lang w:val="en-GB"/>
        </w:rPr>
        <w:t>Nurul Islam</w:t>
      </w:r>
      <w:r w:rsidRPr="009C42ED">
        <w:rPr>
          <w:rFonts w:ascii="Cambria" w:hAnsi="Cambria"/>
          <w:sz w:val="22"/>
          <w:szCs w:val="22"/>
          <w:lang w:val="en-GB"/>
        </w:rPr>
        <w:t xml:space="preserve"> in South Lampung were used as the population. With a total of 53 participants in grade 10, the research sample was drawn using a simple random sampling technique. The experimental class used STEM, while the control class learned according to the school curriculum. The steps in learning are as follows:</w:t>
      </w:r>
    </w:p>
    <w:p w14:paraId="66EB73BD" w14:textId="5BA009B0" w:rsidR="009C42ED" w:rsidRDefault="009C42ED" w:rsidP="00755763">
      <w:pPr>
        <w:autoSpaceDE w:val="0"/>
        <w:jc w:val="both"/>
        <w:rPr>
          <w:rFonts w:ascii="Cambria" w:hAnsi="Cambria"/>
          <w:sz w:val="22"/>
          <w:szCs w:val="22"/>
          <w:lang w:val="en-GB"/>
        </w:rPr>
      </w:pPr>
    </w:p>
    <w:p w14:paraId="121039B6" w14:textId="77777777" w:rsidR="00701D30" w:rsidRPr="00192278" w:rsidRDefault="00701D30" w:rsidP="00701D30">
      <w:pPr>
        <w:spacing w:line="276" w:lineRule="auto"/>
        <w:jc w:val="both"/>
        <w:rPr>
          <w:rFonts w:ascii="Garamond" w:hAnsi="Garamond"/>
          <w:bCs/>
          <w:iCs/>
          <w:color w:val="000000" w:themeColor="text1"/>
        </w:rPr>
      </w:pPr>
      <w:r w:rsidRPr="00192278">
        <w:rPr>
          <w:rFonts w:ascii="Garamond" w:hAnsi="Garamond"/>
          <w:bCs/>
          <w:iCs/>
          <w:noProof/>
          <w:color w:val="000000" w:themeColor="text1"/>
          <w:lang w:eastAsia="en-US"/>
        </w:rPr>
        <w:drawing>
          <wp:inline distT="0" distB="0" distL="0" distR="0" wp14:anchorId="15F28018" wp14:editId="79662A42">
            <wp:extent cx="5962650" cy="905510"/>
            <wp:effectExtent l="19050" t="0" r="3810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5A09136" w14:textId="3DBA400B" w:rsidR="009C42ED" w:rsidRPr="00701D30" w:rsidRDefault="00701D30" w:rsidP="00701D30">
      <w:pPr>
        <w:spacing w:line="276" w:lineRule="auto"/>
        <w:jc w:val="center"/>
        <w:rPr>
          <w:rFonts w:ascii="Cambria" w:hAnsi="Cambria"/>
          <w:sz w:val="22"/>
          <w:szCs w:val="22"/>
          <w:lang w:val="en-GB"/>
        </w:rPr>
      </w:pPr>
      <w:r>
        <w:rPr>
          <w:rFonts w:ascii="Garamond" w:hAnsi="Garamond"/>
          <w:b/>
          <w:bCs/>
          <w:color w:val="000000" w:themeColor="text1"/>
        </w:rPr>
        <w:t>Figure 2</w:t>
      </w:r>
      <w:r w:rsidRPr="00192278">
        <w:rPr>
          <w:rFonts w:ascii="Garamond" w:hAnsi="Garamond"/>
          <w:b/>
          <w:bCs/>
          <w:color w:val="000000" w:themeColor="text1"/>
        </w:rPr>
        <w:t xml:space="preserve">. </w:t>
      </w:r>
      <w:r w:rsidRPr="00701D30">
        <w:rPr>
          <w:rFonts w:ascii="Garamond" w:hAnsi="Garamond"/>
          <w:bCs/>
          <w:color w:val="000000" w:themeColor="text1"/>
        </w:rPr>
        <w:t xml:space="preserve">STEM model learning </w:t>
      </w:r>
    </w:p>
    <w:p w14:paraId="617A5D51" w14:textId="77777777" w:rsidR="00753222" w:rsidRDefault="00753222" w:rsidP="00753222">
      <w:pPr>
        <w:autoSpaceDE w:val="0"/>
        <w:ind w:firstLine="720"/>
        <w:jc w:val="both"/>
        <w:rPr>
          <w:rFonts w:ascii="Cambria" w:hAnsi="Cambria"/>
          <w:bCs/>
          <w:iCs/>
          <w:sz w:val="22"/>
          <w:lang w:val="en-GB"/>
        </w:rPr>
      </w:pPr>
    </w:p>
    <w:p w14:paraId="3D868609" w14:textId="3762B9B0" w:rsidR="00701D30" w:rsidRPr="00753222" w:rsidRDefault="00753222" w:rsidP="00753222">
      <w:pPr>
        <w:autoSpaceDE w:val="0"/>
        <w:ind w:firstLine="720"/>
        <w:jc w:val="both"/>
        <w:rPr>
          <w:rFonts w:ascii="Cambria" w:hAnsi="Cambria"/>
          <w:bCs/>
          <w:iCs/>
          <w:sz w:val="22"/>
          <w:lang w:val="en-GB"/>
        </w:rPr>
      </w:pPr>
      <w:r w:rsidRPr="00753222">
        <w:rPr>
          <w:rFonts w:ascii="Cambria" w:hAnsi="Cambria"/>
          <w:bCs/>
          <w:iCs/>
          <w:sz w:val="22"/>
          <w:lang w:val="en-GB"/>
        </w:rPr>
        <w:t>An essay test on geometry material was used as the instrument in this study. The written test method was used in the data collection technique to assess students' critical thinking skills mathematically. The following are indicators of critical thinking in mathematics:</w:t>
      </w:r>
    </w:p>
    <w:p w14:paraId="54DF10F1" w14:textId="0AF3E81F" w:rsidR="00701D30" w:rsidRDefault="00701D30" w:rsidP="002F6BE9">
      <w:pPr>
        <w:autoSpaceDE w:val="0"/>
        <w:jc w:val="both"/>
        <w:rPr>
          <w:rFonts w:ascii="Cambria" w:hAnsi="Cambria"/>
          <w:b/>
          <w:bCs/>
          <w:iCs/>
          <w:lang w:val="en-GB"/>
        </w:rPr>
      </w:pPr>
    </w:p>
    <w:p w14:paraId="153569F0" w14:textId="77777777" w:rsidR="001616FF" w:rsidRPr="00192278" w:rsidRDefault="001616FF" w:rsidP="00D935B0">
      <w:pPr>
        <w:spacing w:line="276" w:lineRule="auto"/>
        <w:ind w:left="-426"/>
        <w:jc w:val="both"/>
        <w:rPr>
          <w:rFonts w:ascii="Garamond" w:hAnsi="Garamond"/>
          <w:bCs/>
          <w:color w:val="000000" w:themeColor="text1"/>
        </w:rPr>
      </w:pPr>
      <w:r>
        <w:rPr>
          <w:rFonts w:ascii="Garamond" w:hAnsi="Garamond"/>
          <w:bCs/>
          <w:noProof/>
          <w:lang w:eastAsia="en-US"/>
        </w:rPr>
        <w:drawing>
          <wp:inline distT="0" distB="0" distL="0" distR="0" wp14:anchorId="2125A2B3" wp14:editId="199664AE">
            <wp:extent cx="7000875" cy="2819400"/>
            <wp:effectExtent l="0" t="5715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D2DCD31" w14:textId="076B0A2C" w:rsidR="001616FF" w:rsidRPr="00192278" w:rsidRDefault="00D935B0" w:rsidP="001616FF">
      <w:pPr>
        <w:spacing w:line="276" w:lineRule="auto"/>
        <w:jc w:val="center"/>
        <w:rPr>
          <w:rFonts w:ascii="Garamond" w:hAnsi="Garamond"/>
          <w:b/>
          <w:bCs/>
          <w:iCs/>
          <w:color w:val="000000" w:themeColor="text1"/>
        </w:rPr>
      </w:pPr>
      <w:r>
        <w:rPr>
          <w:rFonts w:ascii="Garamond" w:hAnsi="Garamond"/>
          <w:b/>
          <w:bCs/>
          <w:color w:val="000000" w:themeColor="text1"/>
        </w:rPr>
        <w:t>Figure 3</w:t>
      </w:r>
      <w:r w:rsidR="001616FF" w:rsidRPr="00192278">
        <w:rPr>
          <w:rFonts w:ascii="Garamond" w:hAnsi="Garamond"/>
          <w:b/>
          <w:bCs/>
          <w:color w:val="000000" w:themeColor="text1"/>
        </w:rPr>
        <w:t xml:space="preserve">. </w:t>
      </w:r>
      <w:r>
        <w:rPr>
          <w:rFonts w:ascii="Garamond" w:hAnsi="Garamond"/>
          <w:bCs/>
          <w:color w:val="000000" w:themeColor="text1"/>
        </w:rPr>
        <w:t xml:space="preserve">The indicators of mathematical critical thinking </w:t>
      </w:r>
    </w:p>
    <w:p w14:paraId="2F217222" w14:textId="77777777" w:rsidR="00645DB4" w:rsidRDefault="00645DB4" w:rsidP="00645DB4">
      <w:pPr>
        <w:autoSpaceDE w:val="0"/>
        <w:ind w:firstLine="720"/>
        <w:jc w:val="both"/>
        <w:rPr>
          <w:rFonts w:ascii="Cambria" w:hAnsi="Cambria"/>
          <w:bCs/>
          <w:iCs/>
          <w:sz w:val="22"/>
          <w:lang w:val="en-GB"/>
        </w:rPr>
      </w:pPr>
    </w:p>
    <w:p w14:paraId="4A1C9F77" w14:textId="767CDC6E" w:rsidR="001616FF" w:rsidRPr="00645DB4" w:rsidRDefault="00645DB4" w:rsidP="00645DB4">
      <w:pPr>
        <w:autoSpaceDE w:val="0"/>
        <w:ind w:firstLine="720"/>
        <w:jc w:val="both"/>
        <w:rPr>
          <w:rFonts w:ascii="Cambria" w:hAnsi="Cambria"/>
          <w:bCs/>
          <w:iCs/>
          <w:sz w:val="22"/>
          <w:lang w:val="en-GB"/>
        </w:rPr>
      </w:pPr>
      <w:r w:rsidRPr="00645DB4">
        <w:rPr>
          <w:rFonts w:ascii="Cambria" w:hAnsi="Cambria"/>
          <w:bCs/>
          <w:iCs/>
          <w:sz w:val="22"/>
          <w:lang w:val="en-GB"/>
        </w:rPr>
        <w:t>Normality and homogeneity tests were performed prior to the analysis. Statistical test with a 5% level of significance. The SPSS 17 program was used to perform hypothesis testing, which included a two-way ANOVA test with a 2 x 2 factorial design.</w:t>
      </w:r>
    </w:p>
    <w:p w14:paraId="223543CD" w14:textId="5560CF78" w:rsidR="001616FF" w:rsidRDefault="001616FF" w:rsidP="002F6BE9">
      <w:pPr>
        <w:autoSpaceDE w:val="0"/>
        <w:jc w:val="both"/>
        <w:rPr>
          <w:rFonts w:ascii="Cambria" w:hAnsi="Cambria"/>
          <w:b/>
          <w:bCs/>
          <w:iCs/>
          <w:lang w:val="en-GB"/>
        </w:rPr>
      </w:pPr>
    </w:p>
    <w:p w14:paraId="76A0B08E" w14:textId="3DBA2AAA"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RESULTS AND DISCUSSION</w:t>
      </w:r>
    </w:p>
    <w:p w14:paraId="42A4EC3A" w14:textId="0418EA73" w:rsidR="00F3424D" w:rsidRDefault="00F3424D" w:rsidP="00755763">
      <w:pPr>
        <w:autoSpaceDE w:val="0"/>
        <w:ind w:firstLine="567"/>
        <w:jc w:val="both"/>
        <w:rPr>
          <w:rFonts w:ascii="Cambria" w:hAnsi="Cambria"/>
          <w:sz w:val="22"/>
          <w:szCs w:val="22"/>
          <w:lang w:val="id-ID"/>
        </w:rPr>
      </w:pPr>
      <w:r w:rsidRPr="00F3424D">
        <w:rPr>
          <w:rFonts w:ascii="Cambria" w:hAnsi="Cambria"/>
          <w:sz w:val="22"/>
          <w:szCs w:val="22"/>
          <w:lang w:val="id-ID"/>
        </w:rPr>
        <w:t>The results of the mathematical creative thinking ability test are includ</w:t>
      </w:r>
      <w:r>
        <w:rPr>
          <w:rFonts w:ascii="Cambria" w:hAnsi="Cambria"/>
          <w:sz w:val="22"/>
          <w:szCs w:val="22"/>
          <w:lang w:val="id-ID"/>
        </w:rPr>
        <w:t>ed in the research data. Table 2</w:t>
      </w:r>
      <w:r w:rsidRPr="00F3424D">
        <w:rPr>
          <w:rFonts w:ascii="Cambria" w:hAnsi="Cambria"/>
          <w:sz w:val="22"/>
          <w:szCs w:val="22"/>
          <w:lang w:val="id-ID"/>
        </w:rPr>
        <w:t xml:space="preserve"> shows the value of mathematical creative thinking ability based on </w:t>
      </w:r>
      <w:r>
        <w:rPr>
          <w:rFonts w:ascii="Cambria" w:hAnsi="Cambria"/>
          <w:sz w:val="22"/>
          <w:szCs w:val="22"/>
          <w:lang w:val="id-ID"/>
        </w:rPr>
        <w:t>learning and experience. Table 3</w:t>
      </w:r>
      <w:r w:rsidRPr="00F3424D">
        <w:rPr>
          <w:rFonts w:ascii="Cambria" w:hAnsi="Cambria"/>
          <w:sz w:val="22"/>
          <w:szCs w:val="22"/>
          <w:lang w:val="id-ID"/>
        </w:rPr>
        <w:t xml:space="preserve"> shows the value of mathematical creative thinking ability as a function of gender.</w:t>
      </w:r>
    </w:p>
    <w:p w14:paraId="01F0E9DB" w14:textId="48A016CF" w:rsidR="00F3424D" w:rsidRDefault="00F3424D" w:rsidP="00755763">
      <w:pPr>
        <w:autoSpaceDE w:val="0"/>
        <w:ind w:firstLine="567"/>
        <w:jc w:val="both"/>
        <w:rPr>
          <w:rFonts w:ascii="Cambria" w:hAnsi="Cambria"/>
          <w:sz w:val="22"/>
          <w:szCs w:val="22"/>
          <w:lang w:val="id-ID"/>
        </w:rPr>
      </w:pPr>
    </w:p>
    <w:p w14:paraId="009E267E" w14:textId="6DF79B8E" w:rsidR="00F3424D" w:rsidRPr="00F3424D" w:rsidRDefault="00F3424D" w:rsidP="00F3424D">
      <w:pPr>
        <w:spacing w:line="276" w:lineRule="auto"/>
        <w:jc w:val="center"/>
        <w:rPr>
          <w:rFonts w:ascii="Garamond" w:hAnsi="Garamond"/>
          <w:iCs/>
          <w:color w:val="000000" w:themeColor="text1"/>
        </w:rPr>
      </w:pPr>
      <w:r>
        <w:rPr>
          <w:rFonts w:ascii="Garamond" w:hAnsi="Garamond"/>
          <w:b/>
          <w:iCs/>
          <w:color w:val="000000" w:themeColor="text1"/>
        </w:rPr>
        <w:t>Table 2</w:t>
      </w:r>
      <w:r w:rsidRPr="00F3424D">
        <w:rPr>
          <w:rFonts w:ascii="Garamond" w:hAnsi="Garamond"/>
          <w:iCs/>
          <w:color w:val="000000" w:themeColor="text1"/>
        </w:rPr>
        <w:t>. The results of Mathematical Creative Thinking Ability based on Learning model</w:t>
      </w:r>
    </w:p>
    <w:tbl>
      <w:tblPr>
        <w:tblW w:w="0" w:type="auto"/>
        <w:jc w:val="center"/>
        <w:tblLayout w:type="fixed"/>
        <w:tblCellMar>
          <w:left w:w="0" w:type="dxa"/>
          <w:right w:w="0" w:type="dxa"/>
        </w:tblCellMar>
        <w:tblLook w:val="01E0" w:firstRow="1" w:lastRow="1" w:firstColumn="1" w:lastColumn="1" w:noHBand="0" w:noVBand="0"/>
      </w:tblPr>
      <w:tblGrid>
        <w:gridCol w:w="2060"/>
        <w:gridCol w:w="1015"/>
        <w:gridCol w:w="931"/>
        <w:gridCol w:w="936"/>
        <w:gridCol w:w="977"/>
        <w:gridCol w:w="893"/>
        <w:gridCol w:w="1792"/>
      </w:tblGrid>
      <w:tr w:rsidR="00F3424D" w:rsidRPr="00192278" w14:paraId="353E8636" w14:textId="77777777" w:rsidTr="00F3424D">
        <w:trPr>
          <w:trHeight w:hRule="exact" w:val="279"/>
          <w:jc w:val="center"/>
        </w:trPr>
        <w:tc>
          <w:tcPr>
            <w:tcW w:w="2060" w:type="dxa"/>
            <w:vMerge w:val="restart"/>
            <w:tcBorders>
              <w:top w:val="single" w:sz="5" w:space="0" w:color="000000"/>
              <w:left w:val="single" w:sz="5" w:space="0" w:color="000000"/>
              <w:right w:val="single" w:sz="5" w:space="0" w:color="000000"/>
            </w:tcBorders>
            <w:vAlign w:val="center"/>
          </w:tcPr>
          <w:p w14:paraId="4896F6CE" w14:textId="25B78902" w:rsidR="00F3424D" w:rsidRPr="00192278" w:rsidRDefault="00F3424D" w:rsidP="009D76F3">
            <w:pPr>
              <w:jc w:val="center"/>
              <w:rPr>
                <w:rFonts w:ascii="Garamond" w:hAnsi="Garamond"/>
                <w:b/>
                <w:iCs/>
                <w:color w:val="000000" w:themeColor="text1"/>
              </w:rPr>
            </w:pPr>
            <w:r>
              <w:rPr>
                <w:rFonts w:ascii="Garamond" w:hAnsi="Garamond"/>
                <w:b/>
                <w:iCs/>
                <w:color w:val="000000" w:themeColor="text1"/>
              </w:rPr>
              <w:t>Group</w:t>
            </w:r>
          </w:p>
        </w:tc>
        <w:tc>
          <w:tcPr>
            <w:tcW w:w="1015" w:type="dxa"/>
            <w:vMerge w:val="restart"/>
            <w:tcBorders>
              <w:top w:val="single" w:sz="5" w:space="0" w:color="000000"/>
              <w:left w:val="single" w:sz="5" w:space="0" w:color="000000"/>
              <w:right w:val="single" w:sz="5" w:space="0" w:color="000000"/>
            </w:tcBorders>
            <w:vAlign w:val="center"/>
          </w:tcPr>
          <w:p w14:paraId="62871F11"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X</w:t>
            </w:r>
            <w:r w:rsidRPr="002D1225">
              <w:rPr>
                <w:rFonts w:ascii="Garamond" w:hAnsi="Garamond"/>
                <w:b/>
                <w:iCs/>
                <w:color w:val="000000" w:themeColor="text1"/>
                <w:vertAlign w:val="subscript"/>
              </w:rPr>
              <w:t>maks</w:t>
            </w:r>
          </w:p>
        </w:tc>
        <w:tc>
          <w:tcPr>
            <w:tcW w:w="931" w:type="dxa"/>
            <w:vMerge w:val="restart"/>
            <w:tcBorders>
              <w:top w:val="single" w:sz="5" w:space="0" w:color="000000"/>
              <w:left w:val="single" w:sz="5" w:space="0" w:color="000000"/>
              <w:right w:val="single" w:sz="5" w:space="0" w:color="000000"/>
            </w:tcBorders>
            <w:vAlign w:val="center"/>
          </w:tcPr>
          <w:p w14:paraId="74BFAE08"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X</w:t>
            </w:r>
            <w:r w:rsidRPr="002D1225">
              <w:rPr>
                <w:rFonts w:ascii="Garamond" w:hAnsi="Garamond"/>
                <w:b/>
                <w:iCs/>
                <w:color w:val="000000" w:themeColor="text1"/>
                <w:vertAlign w:val="subscript"/>
              </w:rPr>
              <w:t>min</w:t>
            </w:r>
          </w:p>
        </w:tc>
        <w:tc>
          <w:tcPr>
            <w:tcW w:w="2806" w:type="dxa"/>
            <w:gridSpan w:val="3"/>
            <w:tcBorders>
              <w:top w:val="single" w:sz="5" w:space="0" w:color="000000"/>
              <w:left w:val="single" w:sz="5" w:space="0" w:color="000000"/>
              <w:bottom w:val="single" w:sz="5" w:space="0" w:color="000000"/>
              <w:right w:val="single" w:sz="4" w:space="0" w:color="000000"/>
            </w:tcBorders>
          </w:tcPr>
          <w:p w14:paraId="78846775" w14:textId="0239467B" w:rsidR="00F3424D" w:rsidRPr="00192278" w:rsidRDefault="00F3424D" w:rsidP="00F3424D">
            <w:pPr>
              <w:jc w:val="center"/>
              <w:rPr>
                <w:rFonts w:ascii="Garamond" w:hAnsi="Garamond"/>
                <w:b/>
                <w:iCs/>
                <w:color w:val="000000" w:themeColor="text1"/>
              </w:rPr>
            </w:pPr>
            <w:r>
              <w:rPr>
                <w:rFonts w:ascii="Garamond" w:hAnsi="Garamond"/>
                <w:b/>
                <w:iCs/>
                <w:color w:val="000000" w:themeColor="text1"/>
              </w:rPr>
              <w:t>Central Tendency</w:t>
            </w:r>
          </w:p>
        </w:tc>
        <w:tc>
          <w:tcPr>
            <w:tcW w:w="1792" w:type="dxa"/>
            <w:tcBorders>
              <w:top w:val="single" w:sz="5" w:space="0" w:color="000000"/>
              <w:left w:val="single" w:sz="4" w:space="0" w:color="000000"/>
              <w:bottom w:val="single" w:sz="5" w:space="0" w:color="000000"/>
              <w:right w:val="single" w:sz="5" w:space="0" w:color="000000"/>
            </w:tcBorders>
          </w:tcPr>
          <w:p w14:paraId="0A81EBC4" w14:textId="2B3DD99F" w:rsidR="00F3424D" w:rsidRPr="00192278" w:rsidRDefault="00F3424D" w:rsidP="009D76F3">
            <w:pPr>
              <w:jc w:val="center"/>
              <w:rPr>
                <w:rFonts w:ascii="Garamond" w:hAnsi="Garamond"/>
                <w:b/>
                <w:iCs/>
                <w:color w:val="000000" w:themeColor="text1"/>
              </w:rPr>
            </w:pPr>
            <w:r>
              <w:rPr>
                <w:rFonts w:ascii="Garamond" w:hAnsi="Garamond"/>
                <w:b/>
                <w:iCs/>
                <w:color w:val="000000" w:themeColor="text1"/>
              </w:rPr>
              <w:t>Variation</w:t>
            </w:r>
          </w:p>
        </w:tc>
      </w:tr>
      <w:tr w:rsidR="00F3424D" w:rsidRPr="00192278" w14:paraId="526B9624" w14:textId="77777777" w:rsidTr="00F3424D">
        <w:trPr>
          <w:trHeight w:hRule="exact" w:val="269"/>
          <w:jc w:val="center"/>
        </w:trPr>
        <w:tc>
          <w:tcPr>
            <w:tcW w:w="2060" w:type="dxa"/>
            <w:vMerge/>
            <w:tcBorders>
              <w:left w:val="single" w:sz="5" w:space="0" w:color="000000"/>
              <w:bottom w:val="single" w:sz="5" w:space="0" w:color="000000"/>
              <w:right w:val="single" w:sz="5" w:space="0" w:color="000000"/>
            </w:tcBorders>
          </w:tcPr>
          <w:p w14:paraId="3AAF8E73" w14:textId="77777777" w:rsidR="00F3424D" w:rsidRPr="00192278" w:rsidRDefault="00F3424D" w:rsidP="009D76F3">
            <w:pPr>
              <w:ind w:firstLine="720"/>
              <w:jc w:val="center"/>
              <w:rPr>
                <w:rFonts w:ascii="Garamond" w:hAnsi="Garamond"/>
                <w:b/>
                <w:iCs/>
                <w:color w:val="000000" w:themeColor="text1"/>
              </w:rPr>
            </w:pPr>
          </w:p>
        </w:tc>
        <w:tc>
          <w:tcPr>
            <w:tcW w:w="1015" w:type="dxa"/>
            <w:vMerge/>
            <w:tcBorders>
              <w:left w:val="single" w:sz="5" w:space="0" w:color="000000"/>
              <w:bottom w:val="single" w:sz="5" w:space="0" w:color="000000"/>
              <w:right w:val="single" w:sz="5" w:space="0" w:color="000000"/>
            </w:tcBorders>
          </w:tcPr>
          <w:p w14:paraId="7BF89A88" w14:textId="77777777" w:rsidR="00F3424D" w:rsidRPr="00192278" w:rsidRDefault="00F3424D" w:rsidP="009D76F3">
            <w:pPr>
              <w:ind w:firstLine="720"/>
              <w:jc w:val="center"/>
              <w:rPr>
                <w:rFonts w:ascii="Garamond" w:hAnsi="Garamond"/>
                <w:b/>
                <w:iCs/>
                <w:color w:val="000000" w:themeColor="text1"/>
              </w:rPr>
            </w:pPr>
          </w:p>
        </w:tc>
        <w:tc>
          <w:tcPr>
            <w:tcW w:w="931" w:type="dxa"/>
            <w:vMerge/>
            <w:tcBorders>
              <w:left w:val="single" w:sz="5" w:space="0" w:color="000000"/>
              <w:bottom w:val="single" w:sz="5" w:space="0" w:color="000000"/>
              <w:right w:val="single" w:sz="5" w:space="0" w:color="000000"/>
            </w:tcBorders>
          </w:tcPr>
          <w:p w14:paraId="0B4D3B8F" w14:textId="77777777" w:rsidR="00F3424D" w:rsidRPr="00192278" w:rsidRDefault="00F3424D" w:rsidP="009D76F3">
            <w:pPr>
              <w:ind w:firstLine="720"/>
              <w:jc w:val="center"/>
              <w:rPr>
                <w:rFonts w:ascii="Garamond" w:hAnsi="Garamond"/>
                <w:b/>
                <w:iCs/>
                <w:color w:val="000000" w:themeColor="text1"/>
              </w:rPr>
            </w:pPr>
          </w:p>
        </w:tc>
        <w:tc>
          <w:tcPr>
            <w:tcW w:w="936" w:type="dxa"/>
            <w:tcBorders>
              <w:top w:val="single" w:sz="5" w:space="0" w:color="000000"/>
              <w:left w:val="single" w:sz="5" w:space="0" w:color="000000"/>
              <w:bottom w:val="single" w:sz="5" w:space="0" w:color="000000"/>
              <w:right w:val="single" w:sz="5" w:space="0" w:color="000000"/>
            </w:tcBorders>
            <w:vAlign w:val="center"/>
          </w:tcPr>
          <w:p w14:paraId="2CF2A302" w14:textId="77777777" w:rsidR="00F3424D" w:rsidRPr="00192278" w:rsidRDefault="00F41EA2" w:rsidP="009D76F3">
            <w:pPr>
              <w:ind w:firstLine="720"/>
              <w:jc w:val="center"/>
              <w:rPr>
                <w:rFonts w:ascii="Garamond" w:hAnsi="Garamond"/>
                <w:b/>
                <w:iCs/>
                <w:color w:val="000000" w:themeColor="text1"/>
              </w:rPr>
            </w:pPr>
            <m:oMathPara>
              <m:oMath>
                <m:acc>
                  <m:accPr>
                    <m:chr m:val="̅"/>
                    <m:ctrlPr>
                      <w:rPr>
                        <w:rFonts w:ascii="Cambria Math" w:eastAsia="Cambria Math" w:hAnsi="Cambria Math" w:cs="Cambria Math"/>
                        <w:b/>
                        <w:iCs/>
                        <w:color w:val="000000" w:themeColor="text1"/>
                      </w:rPr>
                    </m:ctrlPr>
                  </m:accPr>
                  <m:e>
                    <m:r>
                      <m:rPr>
                        <m:sty m:val="bi"/>
                      </m:rPr>
                      <w:rPr>
                        <w:rFonts w:ascii="Cambria Math" w:eastAsia="Cambria Math" w:hAnsi="Cambria Math" w:cs="Cambria Math"/>
                        <w:color w:val="000000" w:themeColor="text1"/>
                      </w:rPr>
                      <m:t>x</m:t>
                    </m:r>
                  </m:e>
                </m:acc>
              </m:oMath>
            </m:oMathPara>
          </w:p>
        </w:tc>
        <w:tc>
          <w:tcPr>
            <w:tcW w:w="977" w:type="dxa"/>
            <w:tcBorders>
              <w:top w:val="single" w:sz="5" w:space="0" w:color="000000"/>
              <w:left w:val="single" w:sz="5" w:space="0" w:color="000000"/>
              <w:bottom w:val="single" w:sz="5" w:space="0" w:color="000000"/>
              <w:right w:val="single" w:sz="4" w:space="0" w:color="000000"/>
            </w:tcBorders>
            <w:vAlign w:val="center"/>
          </w:tcPr>
          <w:p w14:paraId="73645732"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Mo</w:t>
            </w:r>
          </w:p>
        </w:tc>
        <w:tc>
          <w:tcPr>
            <w:tcW w:w="893" w:type="dxa"/>
            <w:tcBorders>
              <w:top w:val="single" w:sz="5" w:space="0" w:color="000000"/>
              <w:left w:val="single" w:sz="4" w:space="0" w:color="000000"/>
              <w:bottom w:val="single" w:sz="5" w:space="0" w:color="000000"/>
              <w:right w:val="single" w:sz="4" w:space="0" w:color="000000"/>
            </w:tcBorders>
            <w:vAlign w:val="center"/>
          </w:tcPr>
          <w:p w14:paraId="6B720057"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Me</w:t>
            </w:r>
          </w:p>
        </w:tc>
        <w:tc>
          <w:tcPr>
            <w:tcW w:w="1792" w:type="dxa"/>
            <w:tcBorders>
              <w:top w:val="single" w:sz="5" w:space="0" w:color="000000"/>
              <w:left w:val="single" w:sz="4" w:space="0" w:color="000000"/>
              <w:bottom w:val="single" w:sz="5" w:space="0" w:color="000000"/>
              <w:right w:val="single" w:sz="5" w:space="0" w:color="000000"/>
            </w:tcBorders>
            <w:vAlign w:val="center"/>
          </w:tcPr>
          <w:p w14:paraId="0F83E818"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Sd</w:t>
            </w:r>
          </w:p>
        </w:tc>
      </w:tr>
      <w:tr w:rsidR="00F3424D" w:rsidRPr="00192278" w14:paraId="15915E90" w14:textId="77777777" w:rsidTr="00F3424D">
        <w:trPr>
          <w:trHeight w:hRule="exact" w:val="269"/>
          <w:jc w:val="center"/>
        </w:trPr>
        <w:tc>
          <w:tcPr>
            <w:tcW w:w="2060" w:type="dxa"/>
            <w:tcBorders>
              <w:top w:val="single" w:sz="5" w:space="0" w:color="000000"/>
              <w:left w:val="single" w:sz="5" w:space="0" w:color="000000"/>
              <w:bottom w:val="single" w:sz="5" w:space="0" w:color="000000"/>
              <w:right w:val="single" w:sz="5" w:space="0" w:color="000000"/>
            </w:tcBorders>
          </w:tcPr>
          <w:p w14:paraId="046BD07A" w14:textId="77777777" w:rsidR="00F3424D" w:rsidRPr="00092A5A" w:rsidRDefault="00F3424D" w:rsidP="009D76F3">
            <w:pPr>
              <w:jc w:val="center"/>
              <w:rPr>
                <w:rFonts w:ascii="Garamond" w:hAnsi="Garamond"/>
                <w:iCs/>
                <w:color w:val="000000" w:themeColor="text1"/>
              </w:rPr>
            </w:pPr>
            <w:r>
              <w:rPr>
                <w:rFonts w:ascii="Garamond" w:hAnsi="Garamond"/>
                <w:iCs/>
                <w:color w:val="000000" w:themeColor="text1"/>
              </w:rPr>
              <w:t>STEM</w:t>
            </w:r>
          </w:p>
        </w:tc>
        <w:tc>
          <w:tcPr>
            <w:tcW w:w="1015" w:type="dxa"/>
            <w:tcBorders>
              <w:top w:val="single" w:sz="5" w:space="0" w:color="000000"/>
              <w:left w:val="single" w:sz="5" w:space="0" w:color="000000"/>
              <w:bottom w:val="single" w:sz="5" w:space="0" w:color="000000"/>
              <w:right w:val="single" w:sz="5" w:space="0" w:color="000000"/>
            </w:tcBorders>
          </w:tcPr>
          <w:p w14:paraId="3729934A"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96</w:t>
            </w:r>
          </w:p>
        </w:tc>
        <w:tc>
          <w:tcPr>
            <w:tcW w:w="931" w:type="dxa"/>
            <w:tcBorders>
              <w:top w:val="single" w:sz="5" w:space="0" w:color="000000"/>
              <w:left w:val="single" w:sz="5" w:space="0" w:color="000000"/>
              <w:bottom w:val="single" w:sz="5" w:space="0" w:color="000000"/>
              <w:right w:val="single" w:sz="5" w:space="0" w:color="000000"/>
            </w:tcBorders>
          </w:tcPr>
          <w:p w14:paraId="510455D9"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42</w:t>
            </w:r>
          </w:p>
        </w:tc>
        <w:tc>
          <w:tcPr>
            <w:tcW w:w="936" w:type="dxa"/>
            <w:tcBorders>
              <w:top w:val="single" w:sz="5" w:space="0" w:color="000000"/>
              <w:left w:val="single" w:sz="5" w:space="0" w:color="000000"/>
              <w:bottom w:val="single" w:sz="5" w:space="0" w:color="000000"/>
              <w:right w:val="single" w:sz="5" w:space="0" w:color="000000"/>
            </w:tcBorders>
          </w:tcPr>
          <w:p w14:paraId="2E5E491D"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70.7</w:t>
            </w:r>
            <w:r w:rsidRPr="00192278">
              <w:rPr>
                <w:rFonts w:ascii="Garamond" w:hAnsi="Garamond"/>
                <w:iCs/>
                <w:color w:val="000000" w:themeColor="text1"/>
              </w:rPr>
              <w:t>0</w:t>
            </w:r>
          </w:p>
        </w:tc>
        <w:tc>
          <w:tcPr>
            <w:tcW w:w="977" w:type="dxa"/>
            <w:tcBorders>
              <w:top w:val="single" w:sz="5" w:space="0" w:color="000000"/>
              <w:left w:val="single" w:sz="5" w:space="0" w:color="000000"/>
              <w:bottom w:val="single" w:sz="5" w:space="0" w:color="000000"/>
              <w:right w:val="single" w:sz="4" w:space="0" w:color="000000"/>
            </w:tcBorders>
          </w:tcPr>
          <w:p w14:paraId="7227AADC"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5</w:t>
            </w:r>
            <w:r w:rsidRPr="00192278">
              <w:rPr>
                <w:rFonts w:ascii="Garamond" w:hAnsi="Garamond"/>
                <w:iCs/>
                <w:color w:val="000000" w:themeColor="text1"/>
              </w:rPr>
              <w:t>5</w:t>
            </w:r>
          </w:p>
        </w:tc>
        <w:tc>
          <w:tcPr>
            <w:tcW w:w="893" w:type="dxa"/>
            <w:tcBorders>
              <w:top w:val="single" w:sz="5" w:space="0" w:color="000000"/>
              <w:left w:val="single" w:sz="4" w:space="0" w:color="000000"/>
              <w:bottom w:val="single" w:sz="5" w:space="0" w:color="000000"/>
              <w:right w:val="single" w:sz="4" w:space="0" w:color="000000"/>
            </w:tcBorders>
          </w:tcPr>
          <w:p w14:paraId="76D2A524"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5</w:t>
            </w:r>
            <w:r w:rsidRPr="00192278">
              <w:rPr>
                <w:rFonts w:ascii="Garamond" w:hAnsi="Garamond"/>
                <w:iCs/>
                <w:color w:val="000000" w:themeColor="text1"/>
              </w:rPr>
              <w:t>0</w:t>
            </w:r>
          </w:p>
        </w:tc>
        <w:tc>
          <w:tcPr>
            <w:tcW w:w="1792" w:type="dxa"/>
            <w:tcBorders>
              <w:top w:val="single" w:sz="5" w:space="0" w:color="000000"/>
              <w:left w:val="single" w:sz="4" w:space="0" w:color="000000"/>
              <w:bottom w:val="single" w:sz="5" w:space="0" w:color="000000"/>
              <w:right w:val="single" w:sz="5" w:space="0" w:color="000000"/>
            </w:tcBorders>
          </w:tcPr>
          <w:p w14:paraId="0A165396"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15.28</w:t>
            </w:r>
            <w:r w:rsidRPr="00192278">
              <w:rPr>
                <w:rFonts w:ascii="Garamond" w:hAnsi="Garamond"/>
                <w:iCs/>
                <w:color w:val="000000" w:themeColor="text1"/>
              </w:rPr>
              <w:t>7</w:t>
            </w:r>
          </w:p>
        </w:tc>
      </w:tr>
      <w:tr w:rsidR="00F3424D" w:rsidRPr="00192278" w14:paraId="5ED03A62" w14:textId="77777777" w:rsidTr="00F3424D">
        <w:trPr>
          <w:trHeight w:hRule="exact" w:val="268"/>
          <w:jc w:val="center"/>
        </w:trPr>
        <w:tc>
          <w:tcPr>
            <w:tcW w:w="2060" w:type="dxa"/>
            <w:tcBorders>
              <w:top w:val="single" w:sz="5" w:space="0" w:color="000000"/>
              <w:left w:val="single" w:sz="5" w:space="0" w:color="000000"/>
              <w:bottom w:val="single" w:sz="4" w:space="0" w:color="000000"/>
              <w:right w:val="single" w:sz="5" w:space="0" w:color="000000"/>
            </w:tcBorders>
          </w:tcPr>
          <w:p w14:paraId="04E56F37" w14:textId="42909DF1" w:rsidR="00F3424D" w:rsidRPr="00092A5A" w:rsidRDefault="00F3424D" w:rsidP="009D76F3">
            <w:pPr>
              <w:jc w:val="center"/>
              <w:rPr>
                <w:rFonts w:ascii="Garamond" w:hAnsi="Garamond"/>
                <w:iCs/>
                <w:color w:val="000000" w:themeColor="text1"/>
              </w:rPr>
            </w:pPr>
            <w:r>
              <w:rPr>
                <w:rFonts w:ascii="Garamond" w:hAnsi="Garamond"/>
                <w:color w:val="000000" w:themeColor="text1"/>
              </w:rPr>
              <w:t>Ekspository</w:t>
            </w:r>
          </w:p>
        </w:tc>
        <w:tc>
          <w:tcPr>
            <w:tcW w:w="1015" w:type="dxa"/>
            <w:tcBorders>
              <w:top w:val="single" w:sz="5" w:space="0" w:color="000000"/>
              <w:left w:val="single" w:sz="5" w:space="0" w:color="000000"/>
              <w:bottom w:val="single" w:sz="4" w:space="0" w:color="000000"/>
              <w:right w:val="single" w:sz="5" w:space="0" w:color="000000"/>
            </w:tcBorders>
          </w:tcPr>
          <w:p w14:paraId="70E84D98"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94</w:t>
            </w:r>
          </w:p>
        </w:tc>
        <w:tc>
          <w:tcPr>
            <w:tcW w:w="931" w:type="dxa"/>
            <w:tcBorders>
              <w:top w:val="single" w:sz="5" w:space="0" w:color="000000"/>
              <w:left w:val="single" w:sz="5" w:space="0" w:color="000000"/>
              <w:bottom w:val="single" w:sz="4" w:space="0" w:color="000000"/>
              <w:right w:val="single" w:sz="5" w:space="0" w:color="000000"/>
            </w:tcBorders>
          </w:tcPr>
          <w:p w14:paraId="1AF5BE67"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36</w:t>
            </w:r>
          </w:p>
        </w:tc>
        <w:tc>
          <w:tcPr>
            <w:tcW w:w="936" w:type="dxa"/>
            <w:tcBorders>
              <w:top w:val="single" w:sz="5" w:space="0" w:color="000000"/>
              <w:left w:val="single" w:sz="5" w:space="0" w:color="000000"/>
              <w:bottom w:val="single" w:sz="4" w:space="0" w:color="000000"/>
              <w:right w:val="single" w:sz="5" w:space="0" w:color="000000"/>
            </w:tcBorders>
          </w:tcPr>
          <w:p w14:paraId="60962465"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60.5</w:t>
            </w:r>
            <w:r w:rsidRPr="00192278">
              <w:rPr>
                <w:rFonts w:ascii="Garamond" w:hAnsi="Garamond"/>
                <w:iCs/>
                <w:color w:val="000000" w:themeColor="text1"/>
              </w:rPr>
              <w:t>0</w:t>
            </w:r>
          </w:p>
        </w:tc>
        <w:tc>
          <w:tcPr>
            <w:tcW w:w="977" w:type="dxa"/>
            <w:tcBorders>
              <w:top w:val="single" w:sz="5" w:space="0" w:color="000000"/>
              <w:left w:val="single" w:sz="5" w:space="0" w:color="000000"/>
              <w:bottom w:val="single" w:sz="4" w:space="0" w:color="000000"/>
              <w:right w:val="single" w:sz="4" w:space="0" w:color="000000"/>
            </w:tcBorders>
          </w:tcPr>
          <w:p w14:paraId="7AFF329F"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4</w:t>
            </w:r>
            <w:r w:rsidRPr="00192278">
              <w:rPr>
                <w:rFonts w:ascii="Garamond" w:hAnsi="Garamond"/>
                <w:iCs/>
                <w:color w:val="000000" w:themeColor="text1"/>
              </w:rPr>
              <w:t>5</w:t>
            </w:r>
          </w:p>
        </w:tc>
        <w:tc>
          <w:tcPr>
            <w:tcW w:w="893" w:type="dxa"/>
            <w:tcBorders>
              <w:top w:val="single" w:sz="5" w:space="0" w:color="000000"/>
              <w:left w:val="single" w:sz="4" w:space="0" w:color="000000"/>
              <w:bottom w:val="single" w:sz="4" w:space="0" w:color="000000"/>
              <w:right w:val="single" w:sz="4" w:space="0" w:color="000000"/>
            </w:tcBorders>
          </w:tcPr>
          <w:p w14:paraId="2B45E83D"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4</w:t>
            </w:r>
            <w:r w:rsidRPr="00192278">
              <w:rPr>
                <w:rFonts w:ascii="Garamond" w:hAnsi="Garamond"/>
                <w:iCs/>
                <w:color w:val="000000" w:themeColor="text1"/>
              </w:rPr>
              <w:t>5</w:t>
            </w:r>
          </w:p>
        </w:tc>
        <w:tc>
          <w:tcPr>
            <w:tcW w:w="1792" w:type="dxa"/>
            <w:tcBorders>
              <w:top w:val="single" w:sz="5" w:space="0" w:color="000000"/>
              <w:left w:val="single" w:sz="4" w:space="0" w:color="000000"/>
              <w:bottom w:val="single" w:sz="4" w:space="0" w:color="000000"/>
              <w:right w:val="single" w:sz="5" w:space="0" w:color="000000"/>
            </w:tcBorders>
          </w:tcPr>
          <w:p w14:paraId="33EB23FC" w14:textId="77777777" w:rsidR="00F3424D" w:rsidRPr="00192278" w:rsidRDefault="00F3424D" w:rsidP="009D76F3">
            <w:pPr>
              <w:jc w:val="center"/>
              <w:rPr>
                <w:rFonts w:ascii="Garamond" w:hAnsi="Garamond"/>
                <w:iCs/>
                <w:color w:val="000000" w:themeColor="text1"/>
              </w:rPr>
            </w:pPr>
            <w:r>
              <w:rPr>
                <w:rFonts w:ascii="Garamond" w:hAnsi="Garamond"/>
                <w:iCs/>
                <w:color w:val="000000" w:themeColor="text1"/>
              </w:rPr>
              <w:t>16.52</w:t>
            </w:r>
            <w:r w:rsidRPr="00192278">
              <w:rPr>
                <w:rFonts w:ascii="Garamond" w:hAnsi="Garamond"/>
                <w:iCs/>
                <w:color w:val="000000" w:themeColor="text1"/>
              </w:rPr>
              <w:t>5</w:t>
            </w:r>
          </w:p>
        </w:tc>
      </w:tr>
    </w:tbl>
    <w:p w14:paraId="755CB883" w14:textId="77777777" w:rsidR="00F3424D" w:rsidRPr="00192278" w:rsidRDefault="00F3424D" w:rsidP="00F3424D">
      <w:pPr>
        <w:spacing w:before="17"/>
        <w:ind w:left="4121" w:right="3598"/>
        <w:jc w:val="center"/>
        <w:rPr>
          <w:b/>
          <w:color w:val="000000" w:themeColor="text1"/>
          <w:sz w:val="23"/>
          <w:szCs w:val="23"/>
        </w:rPr>
      </w:pPr>
    </w:p>
    <w:p w14:paraId="1805ABC6" w14:textId="736DD48B" w:rsidR="00F3424D" w:rsidRPr="00E91C7D" w:rsidRDefault="00F3424D" w:rsidP="00F3424D">
      <w:pPr>
        <w:spacing w:line="276" w:lineRule="auto"/>
        <w:ind w:firstLine="720"/>
        <w:jc w:val="both"/>
        <w:rPr>
          <w:rFonts w:ascii="Cambria" w:hAnsi="Cambria"/>
          <w:iCs/>
          <w:color w:val="000000" w:themeColor="text1"/>
          <w:sz w:val="22"/>
          <w:szCs w:val="22"/>
        </w:rPr>
      </w:pPr>
      <w:r w:rsidRPr="00E91C7D">
        <w:rPr>
          <w:rFonts w:ascii="Cambria" w:hAnsi="Cambria"/>
          <w:iCs/>
          <w:color w:val="000000" w:themeColor="text1"/>
          <w:sz w:val="22"/>
          <w:szCs w:val="22"/>
        </w:rPr>
        <w:t>According to Table 2, the average value of mathematical critical thinking skills using STEM is higher than expository skills. Furthermore, the highest value of using STEM learning is greater than the highest value of using expository learning.</w:t>
      </w:r>
    </w:p>
    <w:p w14:paraId="2B548353" w14:textId="77777777" w:rsidR="00F3424D" w:rsidRPr="00192278" w:rsidRDefault="00F3424D" w:rsidP="00F3424D">
      <w:pPr>
        <w:spacing w:before="17"/>
        <w:ind w:left="4121" w:right="3598"/>
        <w:jc w:val="center"/>
        <w:rPr>
          <w:b/>
          <w:color w:val="000000" w:themeColor="text1"/>
          <w:sz w:val="23"/>
          <w:szCs w:val="23"/>
        </w:rPr>
      </w:pPr>
    </w:p>
    <w:p w14:paraId="643EDB39" w14:textId="0F4B3D78" w:rsidR="00F3424D" w:rsidRPr="00192278" w:rsidRDefault="00F3424D" w:rsidP="00F3424D">
      <w:pPr>
        <w:ind w:right="-1"/>
        <w:jc w:val="center"/>
        <w:rPr>
          <w:rFonts w:ascii="Garamond" w:hAnsi="Garamond"/>
          <w:color w:val="000000" w:themeColor="text1"/>
        </w:rPr>
      </w:pPr>
      <w:r w:rsidRPr="00192278">
        <w:rPr>
          <w:rFonts w:ascii="Garamond" w:hAnsi="Garamond"/>
          <w:b/>
          <w:color w:val="000000" w:themeColor="text1"/>
        </w:rPr>
        <w:lastRenderedPageBreak/>
        <w:t>Tabel</w:t>
      </w:r>
      <w:r w:rsidRPr="00192278">
        <w:rPr>
          <w:rFonts w:ascii="Garamond" w:hAnsi="Garamond"/>
          <w:b/>
          <w:color w:val="000000" w:themeColor="text1"/>
          <w:spacing w:val="10"/>
        </w:rPr>
        <w:t xml:space="preserve"> </w:t>
      </w:r>
      <w:r>
        <w:rPr>
          <w:rFonts w:ascii="Garamond" w:hAnsi="Garamond"/>
          <w:b/>
          <w:color w:val="000000" w:themeColor="text1"/>
          <w:w w:val="102"/>
        </w:rPr>
        <w:t>3</w:t>
      </w:r>
      <w:r w:rsidRPr="00192278">
        <w:rPr>
          <w:rFonts w:ascii="Garamond" w:hAnsi="Garamond"/>
          <w:b/>
          <w:color w:val="000000" w:themeColor="text1"/>
          <w:w w:val="102"/>
        </w:rPr>
        <w:t xml:space="preserve">. </w:t>
      </w:r>
      <w:r w:rsidRPr="00F3424D">
        <w:rPr>
          <w:rFonts w:ascii="Garamond" w:hAnsi="Garamond"/>
          <w:iCs/>
          <w:color w:val="000000" w:themeColor="text1"/>
        </w:rPr>
        <w:t xml:space="preserve">The results of Mathematical Creative Thinking Ability based on </w:t>
      </w:r>
      <w:r>
        <w:rPr>
          <w:rFonts w:ascii="Garamond" w:hAnsi="Garamond"/>
          <w:iCs/>
          <w:color w:val="000000" w:themeColor="text1"/>
        </w:rPr>
        <w:t>gender</w:t>
      </w:r>
    </w:p>
    <w:tbl>
      <w:tblPr>
        <w:tblW w:w="0" w:type="auto"/>
        <w:jc w:val="center"/>
        <w:tblLayout w:type="fixed"/>
        <w:tblCellMar>
          <w:left w:w="0" w:type="dxa"/>
          <w:right w:w="0" w:type="dxa"/>
        </w:tblCellMar>
        <w:tblLook w:val="01E0" w:firstRow="1" w:lastRow="1" w:firstColumn="1" w:lastColumn="1" w:noHBand="0" w:noVBand="0"/>
      </w:tblPr>
      <w:tblGrid>
        <w:gridCol w:w="2196"/>
        <w:gridCol w:w="1015"/>
        <w:gridCol w:w="970"/>
        <w:gridCol w:w="992"/>
        <w:gridCol w:w="851"/>
        <w:gridCol w:w="850"/>
        <w:gridCol w:w="1559"/>
      </w:tblGrid>
      <w:tr w:rsidR="008513F4" w:rsidRPr="00192278" w14:paraId="401F1EFB" w14:textId="77777777" w:rsidTr="009D76F3">
        <w:trPr>
          <w:trHeight w:hRule="exact" w:val="353"/>
          <w:jc w:val="center"/>
        </w:trPr>
        <w:tc>
          <w:tcPr>
            <w:tcW w:w="2196" w:type="dxa"/>
            <w:vMerge w:val="restart"/>
            <w:tcBorders>
              <w:top w:val="single" w:sz="5" w:space="0" w:color="000000"/>
              <w:left w:val="single" w:sz="5" w:space="0" w:color="000000"/>
              <w:right w:val="single" w:sz="5" w:space="0" w:color="000000"/>
            </w:tcBorders>
            <w:vAlign w:val="center"/>
          </w:tcPr>
          <w:p w14:paraId="5A6CF767" w14:textId="4A26F2C5" w:rsidR="008513F4" w:rsidRPr="00192278" w:rsidRDefault="008513F4" w:rsidP="008513F4">
            <w:pPr>
              <w:jc w:val="center"/>
              <w:rPr>
                <w:rFonts w:ascii="Garamond" w:hAnsi="Garamond"/>
                <w:b/>
                <w:iCs/>
                <w:color w:val="000000" w:themeColor="text1"/>
              </w:rPr>
            </w:pPr>
            <w:r>
              <w:rPr>
                <w:rFonts w:ascii="Garamond" w:hAnsi="Garamond"/>
                <w:b/>
                <w:iCs/>
                <w:color w:val="000000" w:themeColor="text1"/>
              </w:rPr>
              <w:t>Group</w:t>
            </w:r>
          </w:p>
        </w:tc>
        <w:tc>
          <w:tcPr>
            <w:tcW w:w="1015" w:type="dxa"/>
            <w:vMerge w:val="restart"/>
            <w:tcBorders>
              <w:top w:val="single" w:sz="5" w:space="0" w:color="000000"/>
              <w:left w:val="single" w:sz="5" w:space="0" w:color="000000"/>
              <w:right w:val="single" w:sz="5" w:space="0" w:color="000000"/>
            </w:tcBorders>
            <w:vAlign w:val="center"/>
          </w:tcPr>
          <w:p w14:paraId="215C1CE9" w14:textId="6C49AF0D" w:rsidR="008513F4" w:rsidRPr="00192278" w:rsidRDefault="008513F4" w:rsidP="008513F4">
            <w:pPr>
              <w:jc w:val="center"/>
              <w:rPr>
                <w:rFonts w:ascii="Garamond" w:hAnsi="Garamond"/>
                <w:b/>
                <w:iCs/>
                <w:color w:val="000000" w:themeColor="text1"/>
              </w:rPr>
            </w:pPr>
            <w:r w:rsidRPr="00192278">
              <w:rPr>
                <w:rFonts w:ascii="Garamond" w:hAnsi="Garamond"/>
                <w:b/>
                <w:iCs/>
                <w:color w:val="000000" w:themeColor="text1"/>
              </w:rPr>
              <w:t>X</w:t>
            </w:r>
            <w:r w:rsidRPr="002D1225">
              <w:rPr>
                <w:rFonts w:ascii="Garamond" w:hAnsi="Garamond"/>
                <w:b/>
                <w:iCs/>
                <w:color w:val="000000" w:themeColor="text1"/>
                <w:vertAlign w:val="subscript"/>
              </w:rPr>
              <w:t>maks</w:t>
            </w:r>
          </w:p>
        </w:tc>
        <w:tc>
          <w:tcPr>
            <w:tcW w:w="970" w:type="dxa"/>
            <w:vMerge w:val="restart"/>
            <w:tcBorders>
              <w:top w:val="single" w:sz="5" w:space="0" w:color="000000"/>
              <w:left w:val="single" w:sz="5" w:space="0" w:color="000000"/>
              <w:right w:val="single" w:sz="5" w:space="0" w:color="000000"/>
            </w:tcBorders>
            <w:vAlign w:val="center"/>
          </w:tcPr>
          <w:p w14:paraId="65CDDF19" w14:textId="205357FE" w:rsidR="008513F4" w:rsidRPr="00192278" w:rsidRDefault="008513F4" w:rsidP="008513F4">
            <w:pPr>
              <w:jc w:val="center"/>
              <w:rPr>
                <w:rFonts w:ascii="Garamond" w:hAnsi="Garamond"/>
                <w:b/>
                <w:iCs/>
                <w:color w:val="000000" w:themeColor="text1"/>
              </w:rPr>
            </w:pPr>
            <w:r w:rsidRPr="00192278">
              <w:rPr>
                <w:rFonts w:ascii="Garamond" w:hAnsi="Garamond"/>
                <w:b/>
                <w:iCs/>
                <w:color w:val="000000" w:themeColor="text1"/>
              </w:rPr>
              <w:t>X</w:t>
            </w:r>
            <w:r w:rsidRPr="002D1225">
              <w:rPr>
                <w:rFonts w:ascii="Garamond" w:hAnsi="Garamond"/>
                <w:b/>
                <w:iCs/>
                <w:color w:val="000000" w:themeColor="text1"/>
                <w:vertAlign w:val="subscript"/>
              </w:rPr>
              <w:t>min</w:t>
            </w:r>
          </w:p>
        </w:tc>
        <w:tc>
          <w:tcPr>
            <w:tcW w:w="2693" w:type="dxa"/>
            <w:gridSpan w:val="3"/>
            <w:tcBorders>
              <w:top w:val="single" w:sz="5" w:space="0" w:color="000000"/>
              <w:left w:val="single" w:sz="5" w:space="0" w:color="000000"/>
              <w:bottom w:val="single" w:sz="5" w:space="0" w:color="000000"/>
              <w:right w:val="single" w:sz="4" w:space="0" w:color="000000"/>
            </w:tcBorders>
            <w:vAlign w:val="center"/>
          </w:tcPr>
          <w:p w14:paraId="25F4B4B9" w14:textId="39F48B14" w:rsidR="008513F4" w:rsidRPr="00192278" w:rsidRDefault="008513F4" w:rsidP="008513F4">
            <w:pPr>
              <w:jc w:val="center"/>
              <w:rPr>
                <w:rFonts w:ascii="Garamond" w:hAnsi="Garamond"/>
                <w:b/>
                <w:iCs/>
                <w:color w:val="000000" w:themeColor="text1"/>
              </w:rPr>
            </w:pPr>
            <w:r>
              <w:rPr>
                <w:rFonts w:ascii="Garamond" w:hAnsi="Garamond"/>
                <w:b/>
                <w:iCs/>
                <w:color w:val="000000" w:themeColor="text1"/>
              </w:rPr>
              <w:t>Central Tendency</w:t>
            </w:r>
          </w:p>
        </w:tc>
        <w:tc>
          <w:tcPr>
            <w:tcW w:w="1559" w:type="dxa"/>
            <w:tcBorders>
              <w:top w:val="single" w:sz="5" w:space="0" w:color="000000"/>
              <w:left w:val="single" w:sz="4" w:space="0" w:color="000000"/>
              <w:bottom w:val="single" w:sz="5" w:space="0" w:color="000000"/>
              <w:right w:val="single" w:sz="5" w:space="0" w:color="000000"/>
            </w:tcBorders>
            <w:vAlign w:val="center"/>
          </w:tcPr>
          <w:p w14:paraId="37C5F39A" w14:textId="2CE5D411" w:rsidR="008513F4" w:rsidRPr="00192278" w:rsidRDefault="008513F4" w:rsidP="008513F4">
            <w:pPr>
              <w:jc w:val="center"/>
              <w:rPr>
                <w:rFonts w:ascii="Garamond" w:hAnsi="Garamond"/>
                <w:b/>
                <w:iCs/>
                <w:color w:val="000000" w:themeColor="text1"/>
              </w:rPr>
            </w:pPr>
            <w:r>
              <w:rPr>
                <w:rFonts w:ascii="Garamond" w:hAnsi="Garamond"/>
                <w:b/>
                <w:iCs/>
                <w:color w:val="000000" w:themeColor="text1"/>
              </w:rPr>
              <w:t>Variation</w:t>
            </w:r>
          </w:p>
        </w:tc>
      </w:tr>
      <w:tr w:rsidR="00F3424D" w:rsidRPr="00192278" w14:paraId="157C57BF" w14:textId="77777777" w:rsidTr="009D76F3">
        <w:trPr>
          <w:trHeight w:hRule="exact" w:val="287"/>
          <w:jc w:val="center"/>
        </w:trPr>
        <w:tc>
          <w:tcPr>
            <w:tcW w:w="2196" w:type="dxa"/>
            <w:vMerge/>
            <w:tcBorders>
              <w:left w:val="single" w:sz="5" w:space="0" w:color="000000"/>
              <w:bottom w:val="single" w:sz="5" w:space="0" w:color="000000"/>
              <w:right w:val="single" w:sz="5" w:space="0" w:color="000000"/>
            </w:tcBorders>
            <w:vAlign w:val="center"/>
          </w:tcPr>
          <w:p w14:paraId="04F45A54" w14:textId="77777777" w:rsidR="00F3424D" w:rsidRPr="00192278" w:rsidRDefault="00F3424D" w:rsidP="009D76F3">
            <w:pPr>
              <w:rPr>
                <w:rFonts w:ascii="Garamond" w:hAnsi="Garamond"/>
                <w:color w:val="000000" w:themeColor="text1"/>
              </w:rPr>
            </w:pPr>
          </w:p>
        </w:tc>
        <w:tc>
          <w:tcPr>
            <w:tcW w:w="1015" w:type="dxa"/>
            <w:vMerge/>
            <w:tcBorders>
              <w:left w:val="single" w:sz="5" w:space="0" w:color="000000"/>
              <w:bottom w:val="single" w:sz="5" w:space="0" w:color="000000"/>
              <w:right w:val="single" w:sz="5" w:space="0" w:color="000000"/>
            </w:tcBorders>
            <w:vAlign w:val="center"/>
          </w:tcPr>
          <w:p w14:paraId="2D3A0582" w14:textId="77777777" w:rsidR="00F3424D" w:rsidRPr="00192278" w:rsidRDefault="00F3424D" w:rsidP="009D76F3">
            <w:pPr>
              <w:rPr>
                <w:rFonts w:ascii="Garamond" w:hAnsi="Garamond"/>
                <w:color w:val="000000" w:themeColor="text1"/>
              </w:rPr>
            </w:pPr>
          </w:p>
        </w:tc>
        <w:tc>
          <w:tcPr>
            <w:tcW w:w="970" w:type="dxa"/>
            <w:vMerge/>
            <w:tcBorders>
              <w:left w:val="single" w:sz="5" w:space="0" w:color="000000"/>
              <w:bottom w:val="single" w:sz="5" w:space="0" w:color="000000"/>
              <w:right w:val="single" w:sz="5" w:space="0" w:color="000000"/>
            </w:tcBorders>
            <w:vAlign w:val="center"/>
          </w:tcPr>
          <w:p w14:paraId="25F22086" w14:textId="77777777" w:rsidR="00F3424D" w:rsidRPr="00192278" w:rsidRDefault="00F3424D" w:rsidP="009D76F3">
            <w:pPr>
              <w:rPr>
                <w:rFonts w:ascii="Garamond" w:hAnsi="Garamond"/>
                <w:color w:val="000000" w:themeColor="text1"/>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54D6756B" w14:textId="77777777" w:rsidR="00F3424D" w:rsidRPr="00192278" w:rsidRDefault="00F41EA2" w:rsidP="009D76F3">
            <w:pPr>
              <w:ind w:left="292" w:right="301"/>
              <w:jc w:val="center"/>
              <w:rPr>
                <w:rFonts w:ascii="Garamond" w:eastAsia="Cambria Math" w:hAnsi="Garamond" w:cs="Cambria Math"/>
                <w:color w:val="000000" w:themeColor="text1"/>
              </w:rPr>
            </w:pPr>
            <m:oMathPara>
              <m:oMathParaPr>
                <m:jc m:val="center"/>
              </m:oMathParaPr>
              <m:oMath>
                <m:acc>
                  <m:accPr>
                    <m:chr m:val="̅"/>
                    <m:ctrlPr>
                      <w:rPr>
                        <w:rFonts w:ascii="Cambria Math" w:eastAsia="Cambria Math" w:hAnsi="Cambria Math" w:cs="Cambria Math"/>
                        <w:b/>
                        <w:iCs/>
                        <w:color w:val="000000" w:themeColor="text1"/>
                      </w:rPr>
                    </m:ctrlPr>
                  </m:accPr>
                  <m:e>
                    <m:r>
                      <m:rPr>
                        <m:sty m:val="bi"/>
                      </m:rPr>
                      <w:rPr>
                        <w:rFonts w:ascii="Cambria Math" w:eastAsia="Cambria Math" w:hAnsi="Cambria Math" w:cs="Cambria Math"/>
                        <w:color w:val="000000" w:themeColor="text1"/>
                      </w:rPr>
                      <m:t>x</m:t>
                    </m:r>
                  </m:e>
                </m:acc>
              </m:oMath>
            </m:oMathPara>
          </w:p>
        </w:tc>
        <w:tc>
          <w:tcPr>
            <w:tcW w:w="851" w:type="dxa"/>
            <w:tcBorders>
              <w:top w:val="single" w:sz="5" w:space="0" w:color="000000"/>
              <w:left w:val="single" w:sz="5" w:space="0" w:color="000000"/>
              <w:bottom w:val="single" w:sz="5" w:space="0" w:color="000000"/>
              <w:right w:val="single" w:sz="4" w:space="0" w:color="000000"/>
            </w:tcBorders>
            <w:vAlign w:val="center"/>
          </w:tcPr>
          <w:p w14:paraId="42636150" w14:textId="77777777" w:rsidR="00F3424D" w:rsidRPr="00192278" w:rsidRDefault="00F3424D" w:rsidP="009D76F3">
            <w:pPr>
              <w:ind w:left="234"/>
              <w:jc w:val="center"/>
              <w:rPr>
                <w:rFonts w:ascii="Garamond" w:hAnsi="Garamond"/>
                <w:color w:val="000000" w:themeColor="text1"/>
              </w:rPr>
            </w:pPr>
            <w:r w:rsidRPr="00192278">
              <w:rPr>
                <w:rFonts w:ascii="Garamond" w:hAnsi="Garamond"/>
                <w:b/>
                <w:iCs/>
                <w:color w:val="000000" w:themeColor="text1"/>
              </w:rPr>
              <w:t>Mo</w:t>
            </w:r>
          </w:p>
        </w:tc>
        <w:tc>
          <w:tcPr>
            <w:tcW w:w="850" w:type="dxa"/>
            <w:tcBorders>
              <w:top w:val="single" w:sz="5" w:space="0" w:color="000000"/>
              <w:left w:val="single" w:sz="4" w:space="0" w:color="000000"/>
              <w:bottom w:val="single" w:sz="5" w:space="0" w:color="000000"/>
              <w:right w:val="single" w:sz="4" w:space="0" w:color="000000"/>
            </w:tcBorders>
            <w:vAlign w:val="center"/>
          </w:tcPr>
          <w:p w14:paraId="799912ED"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Me</w:t>
            </w:r>
          </w:p>
        </w:tc>
        <w:tc>
          <w:tcPr>
            <w:tcW w:w="1559" w:type="dxa"/>
            <w:tcBorders>
              <w:top w:val="single" w:sz="5" w:space="0" w:color="000000"/>
              <w:left w:val="single" w:sz="4" w:space="0" w:color="000000"/>
              <w:bottom w:val="single" w:sz="5" w:space="0" w:color="000000"/>
              <w:right w:val="single" w:sz="5" w:space="0" w:color="000000"/>
            </w:tcBorders>
            <w:vAlign w:val="center"/>
          </w:tcPr>
          <w:p w14:paraId="0077F846" w14:textId="77777777" w:rsidR="00F3424D" w:rsidRPr="00192278" w:rsidRDefault="00F3424D" w:rsidP="009D76F3">
            <w:pPr>
              <w:jc w:val="center"/>
              <w:rPr>
                <w:rFonts w:ascii="Garamond" w:hAnsi="Garamond"/>
                <w:b/>
                <w:iCs/>
                <w:color w:val="000000" w:themeColor="text1"/>
              </w:rPr>
            </w:pPr>
            <w:r w:rsidRPr="00192278">
              <w:rPr>
                <w:rFonts w:ascii="Garamond" w:hAnsi="Garamond"/>
                <w:b/>
                <w:iCs/>
                <w:color w:val="000000" w:themeColor="text1"/>
              </w:rPr>
              <w:t>Sd</w:t>
            </w:r>
          </w:p>
        </w:tc>
      </w:tr>
      <w:tr w:rsidR="00F3424D" w:rsidRPr="00192278" w14:paraId="0861536A" w14:textId="77777777" w:rsidTr="009D76F3">
        <w:trPr>
          <w:trHeight w:hRule="exact" w:val="268"/>
          <w:jc w:val="center"/>
        </w:trPr>
        <w:tc>
          <w:tcPr>
            <w:tcW w:w="2196" w:type="dxa"/>
            <w:tcBorders>
              <w:top w:val="single" w:sz="5" w:space="0" w:color="000000"/>
              <w:left w:val="single" w:sz="5" w:space="0" w:color="000000"/>
              <w:bottom w:val="single" w:sz="4" w:space="0" w:color="000000"/>
              <w:right w:val="single" w:sz="5" w:space="0" w:color="000000"/>
            </w:tcBorders>
          </w:tcPr>
          <w:p w14:paraId="5E3EE459" w14:textId="1B2AD716" w:rsidR="00F3424D" w:rsidRPr="00192278" w:rsidRDefault="008513F4" w:rsidP="009D76F3">
            <w:pPr>
              <w:ind w:left="397"/>
              <w:rPr>
                <w:rFonts w:ascii="Garamond" w:hAnsi="Garamond"/>
                <w:color w:val="000000" w:themeColor="text1"/>
              </w:rPr>
            </w:pPr>
            <w:r>
              <w:rPr>
                <w:rFonts w:ascii="Garamond" w:hAnsi="Garamond"/>
                <w:color w:val="000000" w:themeColor="text1"/>
                <w:w w:val="102"/>
              </w:rPr>
              <w:t>Male</w:t>
            </w:r>
          </w:p>
        </w:tc>
        <w:tc>
          <w:tcPr>
            <w:tcW w:w="1015" w:type="dxa"/>
            <w:tcBorders>
              <w:top w:val="single" w:sz="5" w:space="0" w:color="000000"/>
              <w:left w:val="single" w:sz="5" w:space="0" w:color="000000"/>
              <w:bottom w:val="single" w:sz="4" w:space="0" w:color="000000"/>
              <w:right w:val="single" w:sz="5" w:space="0" w:color="000000"/>
            </w:tcBorders>
          </w:tcPr>
          <w:p w14:paraId="2DCB04E2" w14:textId="77777777" w:rsidR="00F3424D" w:rsidRPr="00192278" w:rsidRDefault="00F3424D" w:rsidP="009D76F3">
            <w:pPr>
              <w:ind w:left="351" w:right="353"/>
              <w:jc w:val="center"/>
              <w:rPr>
                <w:rFonts w:ascii="Garamond" w:hAnsi="Garamond"/>
                <w:color w:val="000000" w:themeColor="text1"/>
              </w:rPr>
            </w:pPr>
            <w:r>
              <w:rPr>
                <w:rFonts w:ascii="Garamond" w:hAnsi="Garamond"/>
                <w:color w:val="000000" w:themeColor="text1"/>
                <w:w w:val="102"/>
              </w:rPr>
              <w:t>98</w:t>
            </w:r>
          </w:p>
        </w:tc>
        <w:tc>
          <w:tcPr>
            <w:tcW w:w="970" w:type="dxa"/>
            <w:tcBorders>
              <w:top w:val="single" w:sz="5" w:space="0" w:color="000000"/>
              <w:left w:val="single" w:sz="5" w:space="0" w:color="000000"/>
              <w:bottom w:val="single" w:sz="4" w:space="0" w:color="000000"/>
              <w:right w:val="single" w:sz="5" w:space="0" w:color="000000"/>
            </w:tcBorders>
          </w:tcPr>
          <w:p w14:paraId="60872C77" w14:textId="77777777" w:rsidR="00F3424D" w:rsidRPr="00192278" w:rsidRDefault="00F3424D" w:rsidP="009D76F3">
            <w:pPr>
              <w:ind w:left="274" w:right="281"/>
              <w:jc w:val="center"/>
              <w:rPr>
                <w:rFonts w:ascii="Garamond" w:hAnsi="Garamond"/>
                <w:color w:val="000000" w:themeColor="text1"/>
              </w:rPr>
            </w:pPr>
            <w:r>
              <w:rPr>
                <w:rFonts w:ascii="Garamond" w:hAnsi="Garamond"/>
                <w:color w:val="000000" w:themeColor="text1"/>
                <w:w w:val="102"/>
              </w:rPr>
              <w:t>4</w:t>
            </w:r>
            <w:r w:rsidRPr="00192278">
              <w:rPr>
                <w:rFonts w:ascii="Garamond" w:hAnsi="Garamond"/>
                <w:color w:val="000000" w:themeColor="text1"/>
                <w:w w:val="102"/>
              </w:rPr>
              <w:t>5</w:t>
            </w:r>
          </w:p>
        </w:tc>
        <w:tc>
          <w:tcPr>
            <w:tcW w:w="992" w:type="dxa"/>
            <w:tcBorders>
              <w:top w:val="single" w:sz="5" w:space="0" w:color="000000"/>
              <w:left w:val="single" w:sz="5" w:space="0" w:color="000000"/>
              <w:bottom w:val="single" w:sz="4" w:space="0" w:color="000000"/>
              <w:right w:val="single" w:sz="5" w:space="0" w:color="000000"/>
            </w:tcBorders>
          </w:tcPr>
          <w:p w14:paraId="3CC1AD51" w14:textId="268E8976" w:rsidR="00F3424D" w:rsidRPr="00192278" w:rsidRDefault="00F40BD9" w:rsidP="009D76F3">
            <w:pPr>
              <w:ind w:left="153"/>
              <w:rPr>
                <w:rFonts w:ascii="Garamond" w:hAnsi="Garamond"/>
                <w:color w:val="000000" w:themeColor="text1"/>
              </w:rPr>
            </w:pPr>
            <w:r>
              <w:rPr>
                <w:rFonts w:ascii="Garamond" w:hAnsi="Garamond"/>
                <w:color w:val="000000" w:themeColor="text1"/>
                <w:w w:val="102"/>
              </w:rPr>
              <w:t>5</w:t>
            </w:r>
            <w:r w:rsidR="00F3424D" w:rsidRPr="00192278">
              <w:rPr>
                <w:rFonts w:ascii="Garamond" w:hAnsi="Garamond"/>
                <w:color w:val="000000" w:themeColor="text1"/>
                <w:w w:val="102"/>
              </w:rPr>
              <w:t>7.04</w:t>
            </w:r>
          </w:p>
        </w:tc>
        <w:tc>
          <w:tcPr>
            <w:tcW w:w="851" w:type="dxa"/>
            <w:tcBorders>
              <w:top w:val="single" w:sz="5" w:space="0" w:color="000000"/>
              <w:left w:val="single" w:sz="5" w:space="0" w:color="000000"/>
              <w:bottom w:val="single" w:sz="4" w:space="0" w:color="000000"/>
              <w:right w:val="single" w:sz="4" w:space="0" w:color="000000"/>
            </w:tcBorders>
          </w:tcPr>
          <w:p w14:paraId="6D22DF54" w14:textId="77777777" w:rsidR="00F3424D" w:rsidRPr="00192278" w:rsidRDefault="00F3424D" w:rsidP="009D76F3">
            <w:pPr>
              <w:ind w:left="224" w:right="228"/>
              <w:jc w:val="center"/>
              <w:rPr>
                <w:rFonts w:ascii="Garamond" w:hAnsi="Garamond"/>
                <w:color w:val="000000" w:themeColor="text1"/>
              </w:rPr>
            </w:pPr>
            <w:r>
              <w:rPr>
                <w:rFonts w:ascii="Garamond" w:hAnsi="Garamond"/>
                <w:color w:val="000000" w:themeColor="text1"/>
                <w:w w:val="102"/>
              </w:rPr>
              <w:t>5</w:t>
            </w:r>
            <w:r w:rsidRPr="00192278">
              <w:rPr>
                <w:rFonts w:ascii="Garamond" w:hAnsi="Garamond"/>
                <w:color w:val="000000" w:themeColor="text1"/>
                <w:w w:val="102"/>
              </w:rPr>
              <w:t>5</w:t>
            </w:r>
          </w:p>
        </w:tc>
        <w:tc>
          <w:tcPr>
            <w:tcW w:w="850" w:type="dxa"/>
            <w:tcBorders>
              <w:top w:val="single" w:sz="5" w:space="0" w:color="000000"/>
              <w:left w:val="single" w:sz="4" w:space="0" w:color="000000"/>
              <w:bottom w:val="single" w:sz="4" w:space="0" w:color="000000"/>
              <w:right w:val="single" w:sz="4" w:space="0" w:color="000000"/>
            </w:tcBorders>
          </w:tcPr>
          <w:p w14:paraId="6DDE90B9" w14:textId="77777777" w:rsidR="00F3424D" w:rsidRPr="00192278" w:rsidRDefault="00F3424D" w:rsidP="009D76F3">
            <w:pPr>
              <w:ind w:left="220"/>
              <w:rPr>
                <w:rFonts w:ascii="Garamond" w:hAnsi="Garamond"/>
                <w:color w:val="000000" w:themeColor="text1"/>
              </w:rPr>
            </w:pPr>
            <w:r>
              <w:rPr>
                <w:rFonts w:ascii="Garamond" w:hAnsi="Garamond"/>
                <w:color w:val="000000" w:themeColor="text1"/>
                <w:w w:val="102"/>
              </w:rPr>
              <w:t>6</w:t>
            </w:r>
            <w:r w:rsidRPr="00192278">
              <w:rPr>
                <w:rFonts w:ascii="Garamond" w:hAnsi="Garamond"/>
                <w:color w:val="000000" w:themeColor="text1"/>
                <w:w w:val="102"/>
              </w:rPr>
              <w:t>5</w:t>
            </w:r>
          </w:p>
        </w:tc>
        <w:tc>
          <w:tcPr>
            <w:tcW w:w="1559" w:type="dxa"/>
            <w:tcBorders>
              <w:top w:val="single" w:sz="5" w:space="0" w:color="000000"/>
              <w:left w:val="single" w:sz="4" w:space="0" w:color="000000"/>
              <w:bottom w:val="single" w:sz="4" w:space="0" w:color="000000"/>
              <w:right w:val="single" w:sz="5" w:space="0" w:color="000000"/>
            </w:tcBorders>
          </w:tcPr>
          <w:p w14:paraId="0E63091D" w14:textId="77777777" w:rsidR="00F3424D" w:rsidRPr="00192278" w:rsidRDefault="00F3424D" w:rsidP="009D76F3">
            <w:pPr>
              <w:ind w:left="369"/>
              <w:rPr>
                <w:rFonts w:ascii="Garamond" w:hAnsi="Garamond"/>
                <w:color w:val="000000" w:themeColor="text1"/>
              </w:rPr>
            </w:pPr>
            <w:r>
              <w:rPr>
                <w:rFonts w:ascii="Garamond" w:hAnsi="Garamond"/>
                <w:color w:val="000000" w:themeColor="text1"/>
                <w:w w:val="102"/>
              </w:rPr>
              <w:t>16.809</w:t>
            </w:r>
          </w:p>
        </w:tc>
      </w:tr>
      <w:tr w:rsidR="00F3424D" w:rsidRPr="00192278" w14:paraId="6243D8C9" w14:textId="77777777" w:rsidTr="009D76F3">
        <w:trPr>
          <w:trHeight w:hRule="exact" w:val="268"/>
          <w:jc w:val="center"/>
        </w:trPr>
        <w:tc>
          <w:tcPr>
            <w:tcW w:w="2196" w:type="dxa"/>
            <w:tcBorders>
              <w:top w:val="single" w:sz="4" w:space="0" w:color="000000"/>
              <w:left w:val="single" w:sz="5" w:space="0" w:color="000000"/>
              <w:bottom w:val="single" w:sz="5" w:space="0" w:color="000000"/>
              <w:right w:val="single" w:sz="5" w:space="0" w:color="000000"/>
            </w:tcBorders>
          </w:tcPr>
          <w:p w14:paraId="18C9ADA0" w14:textId="7C860F2A" w:rsidR="00F3424D" w:rsidRPr="00192278" w:rsidRDefault="008513F4" w:rsidP="009D76F3">
            <w:pPr>
              <w:ind w:left="342"/>
              <w:rPr>
                <w:rFonts w:ascii="Garamond" w:hAnsi="Garamond"/>
                <w:color w:val="000000" w:themeColor="text1"/>
              </w:rPr>
            </w:pPr>
            <w:r>
              <w:rPr>
                <w:rFonts w:ascii="Garamond" w:hAnsi="Garamond"/>
                <w:color w:val="000000" w:themeColor="text1"/>
                <w:w w:val="102"/>
              </w:rPr>
              <w:t>Female</w:t>
            </w:r>
          </w:p>
        </w:tc>
        <w:tc>
          <w:tcPr>
            <w:tcW w:w="1015" w:type="dxa"/>
            <w:tcBorders>
              <w:top w:val="single" w:sz="4" w:space="0" w:color="000000"/>
              <w:left w:val="single" w:sz="5" w:space="0" w:color="000000"/>
              <w:bottom w:val="single" w:sz="5" w:space="0" w:color="000000"/>
              <w:right w:val="single" w:sz="5" w:space="0" w:color="000000"/>
            </w:tcBorders>
          </w:tcPr>
          <w:p w14:paraId="0C169BBC" w14:textId="77777777" w:rsidR="00F3424D" w:rsidRPr="00192278" w:rsidRDefault="00F3424D" w:rsidP="009D76F3">
            <w:pPr>
              <w:ind w:left="351" w:right="353"/>
              <w:jc w:val="center"/>
              <w:rPr>
                <w:rFonts w:ascii="Garamond" w:hAnsi="Garamond"/>
                <w:color w:val="000000" w:themeColor="text1"/>
              </w:rPr>
            </w:pPr>
            <w:r>
              <w:rPr>
                <w:rFonts w:ascii="Garamond" w:hAnsi="Garamond"/>
                <w:color w:val="000000" w:themeColor="text1"/>
                <w:w w:val="102"/>
              </w:rPr>
              <w:t>98</w:t>
            </w:r>
          </w:p>
        </w:tc>
        <w:tc>
          <w:tcPr>
            <w:tcW w:w="970" w:type="dxa"/>
            <w:tcBorders>
              <w:top w:val="single" w:sz="4" w:space="0" w:color="000000"/>
              <w:left w:val="single" w:sz="5" w:space="0" w:color="000000"/>
              <w:bottom w:val="single" w:sz="5" w:space="0" w:color="000000"/>
              <w:right w:val="single" w:sz="5" w:space="0" w:color="000000"/>
            </w:tcBorders>
          </w:tcPr>
          <w:p w14:paraId="5A612F25" w14:textId="77777777" w:rsidR="00F3424D" w:rsidRPr="00192278" w:rsidRDefault="00F3424D" w:rsidP="009D76F3">
            <w:pPr>
              <w:ind w:left="274" w:right="281"/>
              <w:jc w:val="center"/>
              <w:rPr>
                <w:rFonts w:ascii="Garamond" w:hAnsi="Garamond"/>
                <w:color w:val="000000" w:themeColor="text1"/>
              </w:rPr>
            </w:pPr>
            <w:r>
              <w:rPr>
                <w:rFonts w:ascii="Garamond" w:hAnsi="Garamond"/>
                <w:color w:val="000000" w:themeColor="text1"/>
                <w:w w:val="102"/>
              </w:rPr>
              <w:t>5</w:t>
            </w:r>
            <w:r w:rsidRPr="00192278">
              <w:rPr>
                <w:rFonts w:ascii="Garamond" w:hAnsi="Garamond"/>
                <w:color w:val="000000" w:themeColor="text1"/>
                <w:w w:val="102"/>
              </w:rPr>
              <w:t>0</w:t>
            </w:r>
          </w:p>
        </w:tc>
        <w:tc>
          <w:tcPr>
            <w:tcW w:w="992" w:type="dxa"/>
            <w:tcBorders>
              <w:top w:val="single" w:sz="4" w:space="0" w:color="000000"/>
              <w:left w:val="single" w:sz="5" w:space="0" w:color="000000"/>
              <w:bottom w:val="single" w:sz="5" w:space="0" w:color="000000"/>
              <w:right w:val="single" w:sz="5" w:space="0" w:color="000000"/>
            </w:tcBorders>
          </w:tcPr>
          <w:p w14:paraId="5D5A92F4" w14:textId="15DD4C43" w:rsidR="00F3424D" w:rsidRPr="00192278" w:rsidRDefault="00F40BD9" w:rsidP="009D76F3">
            <w:pPr>
              <w:ind w:left="153"/>
              <w:rPr>
                <w:rFonts w:ascii="Garamond" w:hAnsi="Garamond"/>
                <w:color w:val="000000" w:themeColor="text1"/>
              </w:rPr>
            </w:pPr>
            <w:r>
              <w:rPr>
                <w:rFonts w:ascii="Garamond" w:hAnsi="Garamond"/>
                <w:color w:val="000000" w:themeColor="text1"/>
                <w:w w:val="102"/>
              </w:rPr>
              <w:t>6</w:t>
            </w:r>
            <w:r w:rsidR="00F3424D" w:rsidRPr="00192278">
              <w:rPr>
                <w:rFonts w:ascii="Garamond" w:hAnsi="Garamond"/>
                <w:color w:val="000000" w:themeColor="text1"/>
                <w:w w:val="102"/>
              </w:rPr>
              <w:t>3.21</w:t>
            </w:r>
          </w:p>
        </w:tc>
        <w:tc>
          <w:tcPr>
            <w:tcW w:w="851" w:type="dxa"/>
            <w:tcBorders>
              <w:top w:val="single" w:sz="4" w:space="0" w:color="000000"/>
              <w:left w:val="single" w:sz="5" w:space="0" w:color="000000"/>
              <w:bottom w:val="single" w:sz="5" w:space="0" w:color="000000"/>
              <w:right w:val="single" w:sz="4" w:space="0" w:color="000000"/>
            </w:tcBorders>
          </w:tcPr>
          <w:p w14:paraId="76C485C9" w14:textId="77777777" w:rsidR="00F3424D" w:rsidRPr="00192278" w:rsidRDefault="00F3424D" w:rsidP="009D76F3">
            <w:pPr>
              <w:ind w:left="224" w:right="228"/>
              <w:jc w:val="center"/>
              <w:rPr>
                <w:rFonts w:ascii="Garamond" w:hAnsi="Garamond"/>
                <w:color w:val="000000" w:themeColor="text1"/>
              </w:rPr>
            </w:pPr>
            <w:r>
              <w:rPr>
                <w:rFonts w:ascii="Garamond" w:hAnsi="Garamond"/>
                <w:color w:val="000000" w:themeColor="text1"/>
                <w:w w:val="102"/>
              </w:rPr>
              <w:t>4</w:t>
            </w:r>
            <w:r w:rsidRPr="00192278">
              <w:rPr>
                <w:rFonts w:ascii="Garamond" w:hAnsi="Garamond"/>
                <w:color w:val="000000" w:themeColor="text1"/>
                <w:w w:val="102"/>
              </w:rPr>
              <w:t>5</w:t>
            </w:r>
          </w:p>
        </w:tc>
        <w:tc>
          <w:tcPr>
            <w:tcW w:w="850" w:type="dxa"/>
            <w:tcBorders>
              <w:top w:val="single" w:sz="4" w:space="0" w:color="000000"/>
              <w:left w:val="single" w:sz="4" w:space="0" w:color="000000"/>
              <w:bottom w:val="single" w:sz="5" w:space="0" w:color="000000"/>
              <w:right w:val="single" w:sz="4" w:space="0" w:color="000000"/>
            </w:tcBorders>
          </w:tcPr>
          <w:p w14:paraId="6C4D667B" w14:textId="77777777" w:rsidR="00F3424D" w:rsidRPr="00192278" w:rsidRDefault="00F3424D" w:rsidP="009D76F3">
            <w:pPr>
              <w:ind w:left="220"/>
              <w:rPr>
                <w:rFonts w:ascii="Garamond" w:hAnsi="Garamond"/>
                <w:color w:val="000000" w:themeColor="text1"/>
              </w:rPr>
            </w:pPr>
            <w:r>
              <w:rPr>
                <w:rFonts w:ascii="Garamond" w:hAnsi="Garamond"/>
                <w:color w:val="000000" w:themeColor="text1"/>
                <w:w w:val="102"/>
              </w:rPr>
              <w:t>7</w:t>
            </w:r>
            <w:r w:rsidRPr="00192278">
              <w:rPr>
                <w:rFonts w:ascii="Garamond" w:hAnsi="Garamond"/>
                <w:color w:val="000000" w:themeColor="text1"/>
                <w:w w:val="102"/>
              </w:rPr>
              <w:t>0</w:t>
            </w:r>
          </w:p>
        </w:tc>
        <w:tc>
          <w:tcPr>
            <w:tcW w:w="1559" w:type="dxa"/>
            <w:tcBorders>
              <w:top w:val="single" w:sz="4" w:space="0" w:color="000000"/>
              <w:left w:val="single" w:sz="4" w:space="0" w:color="000000"/>
              <w:bottom w:val="single" w:sz="5" w:space="0" w:color="000000"/>
              <w:right w:val="single" w:sz="5" w:space="0" w:color="000000"/>
            </w:tcBorders>
          </w:tcPr>
          <w:p w14:paraId="70615D43" w14:textId="77777777" w:rsidR="00F3424D" w:rsidRPr="00192278" w:rsidRDefault="00F3424D" w:rsidP="009D76F3">
            <w:pPr>
              <w:ind w:left="369"/>
              <w:rPr>
                <w:rFonts w:ascii="Garamond" w:hAnsi="Garamond"/>
                <w:color w:val="000000" w:themeColor="text1"/>
              </w:rPr>
            </w:pPr>
            <w:r>
              <w:rPr>
                <w:rFonts w:ascii="Garamond" w:hAnsi="Garamond"/>
                <w:color w:val="000000" w:themeColor="text1"/>
                <w:w w:val="102"/>
              </w:rPr>
              <w:t>14.707</w:t>
            </w:r>
          </w:p>
        </w:tc>
      </w:tr>
    </w:tbl>
    <w:p w14:paraId="7ECC4FB8" w14:textId="64CC0A23" w:rsidR="00F3424D" w:rsidRDefault="00F3424D" w:rsidP="00755763">
      <w:pPr>
        <w:autoSpaceDE w:val="0"/>
        <w:ind w:firstLine="567"/>
        <w:jc w:val="both"/>
        <w:rPr>
          <w:rFonts w:ascii="Cambria" w:hAnsi="Cambria"/>
          <w:sz w:val="22"/>
          <w:szCs w:val="22"/>
          <w:lang w:val="id-ID"/>
        </w:rPr>
      </w:pPr>
    </w:p>
    <w:p w14:paraId="02ADD395" w14:textId="6D7FA76B" w:rsidR="00F3424D" w:rsidRDefault="00284078" w:rsidP="00755763">
      <w:pPr>
        <w:autoSpaceDE w:val="0"/>
        <w:ind w:firstLine="567"/>
        <w:jc w:val="both"/>
        <w:rPr>
          <w:rFonts w:ascii="Cambria" w:hAnsi="Cambria"/>
          <w:sz w:val="22"/>
          <w:szCs w:val="22"/>
          <w:lang w:val="id-ID"/>
        </w:rPr>
      </w:pPr>
      <w:r w:rsidRPr="00284078">
        <w:rPr>
          <w:rFonts w:ascii="Cambria" w:hAnsi="Cambria"/>
          <w:sz w:val="22"/>
          <w:szCs w:val="22"/>
          <w:lang w:val="id-ID"/>
        </w:rPr>
        <w:t>According to table 3, female students have a higher average test score for critical thinking skills than male students. Furthermore, women and men have the same highest scores. Analysis of the test prerequisites using the normality test and the Kolmogorov-Smirnov test, as well as the homogenization test and the homogeneous variance test, with a significance of 5% using the SPSS 17 program. The table below shows the results of normality and homogeneity data.</w:t>
      </w:r>
    </w:p>
    <w:p w14:paraId="55469880" w14:textId="01A3E638" w:rsidR="00284078" w:rsidRDefault="00284078" w:rsidP="00755763">
      <w:pPr>
        <w:autoSpaceDE w:val="0"/>
        <w:ind w:firstLine="567"/>
        <w:jc w:val="both"/>
        <w:rPr>
          <w:rFonts w:ascii="Cambria" w:hAnsi="Cambria"/>
          <w:sz w:val="22"/>
          <w:szCs w:val="22"/>
          <w:lang w:val="id-ID"/>
        </w:rPr>
      </w:pPr>
    </w:p>
    <w:p w14:paraId="1254D23F" w14:textId="7E2D2866" w:rsidR="00A32E71" w:rsidRPr="00192278" w:rsidRDefault="00A32E71" w:rsidP="00A32E71">
      <w:pPr>
        <w:ind w:right="-1"/>
        <w:jc w:val="center"/>
        <w:rPr>
          <w:rFonts w:ascii="Garamond" w:hAnsi="Garamond"/>
          <w:b/>
          <w:color w:val="000000" w:themeColor="text1"/>
          <w:position w:val="-1"/>
        </w:rPr>
      </w:pPr>
      <w:r w:rsidRPr="00192278">
        <w:rPr>
          <w:rFonts w:ascii="Garamond" w:hAnsi="Garamond"/>
          <w:b/>
          <w:color w:val="000000" w:themeColor="text1"/>
        </w:rPr>
        <w:t>Tabel</w:t>
      </w:r>
      <w:r w:rsidRPr="00192278">
        <w:rPr>
          <w:rFonts w:ascii="Garamond" w:hAnsi="Garamond"/>
          <w:b/>
          <w:color w:val="000000" w:themeColor="text1"/>
          <w:spacing w:val="10"/>
        </w:rPr>
        <w:t xml:space="preserve"> </w:t>
      </w:r>
      <w:r>
        <w:rPr>
          <w:rFonts w:ascii="Garamond" w:hAnsi="Garamond"/>
          <w:b/>
          <w:color w:val="000000" w:themeColor="text1"/>
          <w:w w:val="102"/>
        </w:rPr>
        <w:t>4</w:t>
      </w:r>
      <w:r w:rsidRPr="00192278">
        <w:rPr>
          <w:rFonts w:ascii="Garamond" w:hAnsi="Garamond"/>
          <w:b/>
          <w:color w:val="000000" w:themeColor="text1"/>
          <w:w w:val="102"/>
        </w:rPr>
        <w:t xml:space="preserve">. </w:t>
      </w:r>
      <w:r w:rsidR="00B56ECF">
        <w:rPr>
          <w:rFonts w:ascii="Garamond" w:hAnsi="Garamond"/>
          <w:color w:val="000000" w:themeColor="text1"/>
          <w:position w:val="-1"/>
        </w:rPr>
        <w:t>The results of normality data</w:t>
      </w:r>
    </w:p>
    <w:tbl>
      <w:tblPr>
        <w:tblStyle w:val="TableGrid"/>
        <w:tblW w:w="8758" w:type="dxa"/>
        <w:jc w:val="center"/>
        <w:tblLook w:val="04A0" w:firstRow="1" w:lastRow="0" w:firstColumn="1" w:lastColumn="0" w:noHBand="0" w:noVBand="1"/>
      </w:tblPr>
      <w:tblGrid>
        <w:gridCol w:w="4380"/>
        <w:gridCol w:w="2008"/>
        <w:gridCol w:w="984"/>
        <w:gridCol w:w="1386"/>
      </w:tblGrid>
      <w:tr w:rsidR="00A32E71" w:rsidRPr="00192278" w14:paraId="3A1EEC54" w14:textId="77777777" w:rsidTr="009D76F3">
        <w:trPr>
          <w:trHeight w:val="241"/>
          <w:jc w:val="center"/>
        </w:trPr>
        <w:tc>
          <w:tcPr>
            <w:tcW w:w="4380" w:type="dxa"/>
            <w:vMerge w:val="restart"/>
            <w:vAlign w:val="center"/>
          </w:tcPr>
          <w:p w14:paraId="5B126D50" w14:textId="196697FD" w:rsidR="00A32E71" w:rsidRPr="00192278" w:rsidRDefault="00B56ECF" w:rsidP="009D76F3">
            <w:pPr>
              <w:jc w:val="center"/>
              <w:rPr>
                <w:rFonts w:ascii="Garamond" w:hAnsi="Garamond"/>
                <w:b/>
                <w:color w:val="000000" w:themeColor="text1"/>
              </w:rPr>
            </w:pPr>
            <w:r>
              <w:rPr>
                <w:rFonts w:ascii="Garamond" w:hAnsi="Garamond"/>
                <w:b/>
                <w:color w:val="000000" w:themeColor="text1"/>
              </w:rPr>
              <w:t>Mathematical Critical Thinking</w:t>
            </w:r>
          </w:p>
        </w:tc>
        <w:tc>
          <w:tcPr>
            <w:tcW w:w="2008" w:type="dxa"/>
          </w:tcPr>
          <w:p w14:paraId="6CF87944" w14:textId="71682568" w:rsidR="00A32E71" w:rsidRPr="00192278" w:rsidRDefault="00B56ECF" w:rsidP="009D76F3">
            <w:pPr>
              <w:jc w:val="center"/>
              <w:rPr>
                <w:rFonts w:ascii="Garamond" w:hAnsi="Garamond"/>
                <w:b/>
                <w:color w:val="000000" w:themeColor="text1"/>
              </w:rPr>
            </w:pPr>
            <w:r>
              <w:rPr>
                <w:rFonts w:ascii="Garamond" w:hAnsi="Garamond"/>
                <w:b/>
                <w:color w:val="000000" w:themeColor="text1"/>
              </w:rPr>
              <w:t>Group</w:t>
            </w:r>
          </w:p>
        </w:tc>
        <w:tc>
          <w:tcPr>
            <w:tcW w:w="984" w:type="dxa"/>
          </w:tcPr>
          <w:p w14:paraId="1351126D" w14:textId="77777777" w:rsidR="00A32E71" w:rsidRPr="00192278" w:rsidRDefault="00A32E71" w:rsidP="009D76F3">
            <w:pPr>
              <w:jc w:val="center"/>
              <w:rPr>
                <w:rFonts w:ascii="Garamond" w:hAnsi="Garamond"/>
                <w:b/>
                <w:color w:val="000000" w:themeColor="text1"/>
              </w:rPr>
            </w:pPr>
            <w:r w:rsidRPr="00192278">
              <w:rPr>
                <w:rFonts w:ascii="Garamond" w:hAnsi="Garamond"/>
                <w:b/>
                <w:color w:val="000000" w:themeColor="text1"/>
              </w:rPr>
              <w:t>Sig</w:t>
            </w:r>
          </w:p>
        </w:tc>
        <w:tc>
          <w:tcPr>
            <w:tcW w:w="1386" w:type="dxa"/>
          </w:tcPr>
          <w:p w14:paraId="283CA8A8" w14:textId="088AF111" w:rsidR="00A32E71" w:rsidRPr="00192278" w:rsidRDefault="00965D4A" w:rsidP="009D76F3">
            <w:pPr>
              <w:jc w:val="center"/>
              <w:rPr>
                <w:rFonts w:ascii="Garamond" w:hAnsi="Garamond"/>
                <w:b/>
                <w:color w:val="000000" w:themeColor="text1"/>
              </w:rPr>
            </w:pPr>
            <w:r>
              <w:rPr>
                <w:rFonts w:ascii="Garamond" w:hAnsi="Garamond"/>
                <w:b/>
                <w:color w:val="000000" w:themeColor="text1"/>
              </w:rPr>
              <w:t>Decision</w:t>
            </w:r>
          </w:p>
        </w:tc>
      </w:tr>
      <w:tr w:rsidR="00A32E71" w:rsidRPr="00192278" w14:paraId="55740196" w14:textId="77777777" w:rsidTr="009D76F3">
        <w:trPr>
          <w:trHeight w:val="241"/>
          <w:jc w:val="center"/>
        </w:trPr>
        <w:tc>
          <w:tcPr>
            <w:tcW w:w="4380" w:type="dxa"/>
            <w:vMerge/>
          </w:tcPr>
          <w:p w14:paraId="4F5D2E4D" w14:textId="77777777" w:rsidR="00A32E71" w:rsidRPr="00192278" w:rsidRDefault="00A32E71" w:rsidP="009D76F3">
            <w:pPr>
              <w:jc w:val="both"/>
              <w:rPr>
                <w:rFonts w:ascii="Garamond" w:hAnsi="Garamond"/>
                <w:color w:val="000000" w:themeColor="text1"/>
              </w:rPr>
            </w:pPr>
          </w:p>
        </w:tc>
        <w:tc>
          <w:tcPr>
            <w:tcW w:w="2008" w:type="dxa"/>
          </w:tcPr>
          <w:p w14:paraId="44C62D5E" w14:textId="77777777" w:rsidR="00A32E71" w:rsidRPr="00092A5A" w:rsidRDefault="00A32E71" w:rsidP="009D76F3">
            <w:pPr>
              <w:spacing w:line="276" w:lineRule="auto"/>
              <w:jc w:val="both"/>
              <w:rPr>
                <w:rFonts w:ascii="Garamond" w:hAnsi="Garamond"/>
                <w:color w:val="000000" w:themeColor="text1"/>
              </w:rPr>
            </w:pPr>
            <w:r>
              <w:rPr>
                <w:rFonts w:ascii="Garamond" w:hAnsi="Garamond"/>
                <w:color w:val="000000" w:themeColor="text1"/>
              </w:rPr>
              <w:t>STEM</w:t>
            </w:r>
          </w:p>
        </w:tc>
        <w:tc>
          <w:tcPr>
            <w:tcW w:w="984" w:type="dxa"/>
          </w:tcPr>
          <w:p w14:paraId="01C7507C" w14:textId="77777777" w:rsidR="00A32E71" w:rsidRPr="00192278" w:rsidRDefault="00A32E71" w:rsidP="009D76F3">
            <w:pPr>
              <w:spacing w:line="276" w:lineRule="auto"/>
              <w:jc w:val="both"/>
              <w:rPr>
                <w:rFonts w:ascii="Garamond" w:hAnsi="Garamond"/>
                <w:color w:val="000000" w:themeColor="text1"/>
              </w:rPr>
            </w:pPr>
            <w:r w:rsidRPr="00192278">
              <w:rPr>
                <w:rFonts w:ascii="Garamond" w:hAnsi="Garamond"/>
                <w:color w:val="000000" w:themeColor="text1"/>
              </w:rPr>
              <w:t>0,822</w:t>
            </w:r>
          </w:p>
        </w:tc>
        <w:tc>
          <w:tcPr>
            <w:tcW w:w="1386" w:type="dxa"/>
          </w:tcPr>
          <w:p w14:paraId="566756A6" w14:textId="77777777" w:rsidR="00A32E71" w:rsidRPr="00192278" w:rsidRDefault="00A32E71" w:rsidP="009D76F3">
            <w:pPr>
              <w:spacing w:line="276" w:lineRule="auto"/>
              <w:jc w:val="center"/>
              <w:rPr>
                <w:rFonts w:ascii="Garamond" w:hAnsi="Garamond"/>
                <w:color w:val="000000" w:themeColor="text1"/>
              </w:rPr>
            </w:pPr>
            <w:r w:rsidRPr="00192278">
              <w:rPr>
                <w:rFonts w:ascii="Garamond" w:hAnsi="Garamond"/>
                <w:color w:val="000000" w:themeColor="text1"/>
              </w:rPr>
              <w:t>Normal</w:t>
            </w:r>
          </w:p>
        </w:tc>
      </w:tr>
      <w:tr w:rsidR="00A32E71" w:rsidRPr="00192278" w14:paraId="47510FC0" w14:textId="77777777" w:rsidTr="009D76F3">
        <w:trPr>
          <w:trHeight w:val="241"/>
          <w:jc w:val="center"/>
        </w:trPr>
        <w:tc>
          <w:tcPr>
            <w:tcW w:w="4380" w:type="dxa"/>
            <w:vMerge/>
          </w:tcPr>
          <w:p w14:paraId="5E6DBBD2" w14:textId="77777777" w:rsidR="00A32E71" w:rsidRPr="00192278" w:rsidRDefault="00A32E71" w:rsidP="009D76F3">
            <w:pPr>
              <w:jc w:val="both"/>
              <w:rPr>
                <w:rFonts w:ascii="Garamond" w:hAnsi="Garamond"/>
                <w:color w:val="000000" w:themeColor="text1"/>
              </w:rPr>
            </w:pPr>
          </w:p>
        </w:tc>
        <w:tc>
          <w:tcPr>
            <w:tcW w:w="2008" w:type="dxa"/>
          </w:tcPr>
          <w:p w14:paraId="32CB4972" w14:textId="53034843" w:rsidR="00A32E71" w:rsidRPr="00092A5A" w:rsidRDefault="00965D4A" w:rsidP="009D76F3">
            <w:pPr>
              <w:spacing w:line="276" w:lineRule="auto"/>
              <w:jc w:val="both"/>
              <w:rPr>
                <w:rFonts w:ascii="Garamond" w:hAnsi="Garamond"/>
                <w:color w:val="000000" w:themeColor="text1"/>
              </w:rPr>
            </w:pPr>
            <w:r>
              <w:rPr>
                <w:rFonts w:ascii="Garamond" w:hAnsi="Garamond"/>
                <w:color w:val="000000" w:themeColor="text1"/>
              </w:rPr>
              <w:t>Ekspository</w:t>
            </w:r>
          </w:p>
        </w:tc>
        <w:tc>
          <w:tcPr>
            <w:tcW w:w="984" w:type="dxa"/>
          </w:tcPr>
          <w:p w14:paraId="3BCD724E" w14:textId="77777777" w:rsidR="00A32E71" w:rsidRPr="00192278" w:rsidRDefault="00A32E71" w:rsidP="009D76F3">
            <w:pPr>
              <w:spacing w:line="276" w:lineRule="auto"/>
              <w:jc w:val="both"/>
              <w:rPr>
                <w:rFonts w:ascii="Garamond" w:hAnsi="Garamond"/>
                <w:color w:val="000000" w:themeColor="text1"/>
              </w:rPr>
            </w:pPr>
            <w:r w:rsidRPr="00192278">
              <w:rPr>
                <w:rFonts w:ascii="Garamond" w:hAnsi="Garamond"/>
                <w:color w:val="000000" w:themeColor="text1"/>
              </w:rPr>
              <w:t>0,330</w:t>
            </w:r>
          </w:p>
        </w:tc>
        <w:tc>
          <w:tcPr>
            <w:tcW w:w="1386" w:type="dxa"/>
          </w:tcPr>
          <w:p w14:paraId="53A6F6A6" w14:textId="77777777" w:rsidR="00A32E71" w:rsidRPr="00192278" w:rsidRDefault="00A32E71" w:rsidP="009D76F3">
            <w:pPr>
              <w:spacing w:line="276" w:lineRule="auto"/>
              <w:jc w:val="center"/>
              <w:rPr>
                <w:rFonts w:ascii="Garamond" w:hAnsi="Garamond"/>
                <w:color w:val="000000" w:themeColor="text1"/>
              </w:rPr>
            </w:pPr>
            <w:r w:rsidRPr="00192278">
              <w:rPr>
                <w:rFonts w:ascii="Garamond" w:hAnsi="Garamond"/>
                <w:color w:val="000000" w:themeColor="text1"/>
              </w:rPr>
              <w:t>Normal</w:t>
            </w:r>
          </w:p>
        </w:tc>
      </w:tr>
      <w:tr w:rsidR="00A32E71" w:rsidRPr="00192278" w14:paraId="129335BE" w14:textId="77777777" w:rsidTr="009D76F3">
        <w:trPr>
          <w:trHeight w:val="241"/>
          <w:jc w:val="center"/>
        </w:trPr>
        <w:tc>
          <w:tcPr>
            <w:tcW w:w="4380" w:type="dxa"/>
            <w:vMerge/>
          </w:tcPr>
          <w:p w14:paraId="0BD6239A" w14:textId="77777777" w:rsidR="00A32E71" w:rsidRPr="00192278" w:rsidRDefault="00A32E71" w:rsidP="009D76F3">
            <w:pPr>
              <w:jc w:val="both"/>
              <w:rPr>
                <w:rFonts w:ascii="Garamond" w:hAnsi="Garamond"/>
                <w:color w:val="000000" w:themeColor="text1"/>
              </w:rPr>
            </w:pPr>
          </w:p>
        </w:tc>
        <w:tc>
          <w:tcPr>
            <w:tcW w:w="2008" w:type="dxa"/>
          </w:tcPr>
          <w:p w14:paraId="31207F2C" w14:textId="3E9E38A4" w:rsidR="00A32E71" w:rsidRPr="00192278" w:rsidRDefault="00965D4A" w:rsidP="009D76F3">
            <w:pPr>
              <w:spacing w:line="276" w:lineRule="auto"/>
              <w:jc w:val="both"/>
              <w:rPr>
                <w:rFonts w:ascii="Garamond" w:hAnsi="Garamond"/>
                <w:color w:val="000000" w:themeColor="text1"/>
              </w:rPr>
            </w:pPr>
            <w:r>
              <w:rPr>
                <w:rFonts w:ascii="Garamond" w:hAnsi="Garamond"/>
                <w:color w:val="000000" w:themeColor="text1"/>
              </w:rPr>
              <w:t>Male</w:t>
            </w:r>
          </w:p>
        </w:tc>
        <w:tc>
          <w:tcPr>
            <w:tcW w:w="984" w:type="dxa"/>
          </w:tcPr>
          <w:p w14:paraId="46BB859D" w14:textId="77777777" w:rsidR="00A32E71" w:rsidRPr="00192278" w:rsidRDefault="00A32E71" w:rsidP="009D76F3">
            <w:pPr>
              <w:jc w:val="both"/>
              <w:rPr>
                <w:rFonts w:ascii="Garamond" w:hAnsi="Garamond"/>
                <w:color w:val="000000" w:themeColor="text1"/>
              </w:rPr>
            </w:pPr>
            <w:r w:rsidRPr="00192278">
              <w:rPr>
                <w:rFonts w:ascii="Garamond" w:hAnsi="Garamond"/>
                <w:color w:val="000000" w:themeColor="text1"/>
              </w:rPr>
              <w:t>0,440</w:t>
            </w:r>
          </w:p>
        </w:tc>
        <w:tc>
          <w:tcPr>
            <w:tcW w:w="1386" w:type="dxa"/>
          </w:tcPr>
          <w:p w14:paraId="2301AE94" w14:textId="77777777" w:rsidR="00A32E71" w:rsidRPr="00192278" w:rsidRDefault="00A32E71" w:rsidP="009D76F3">
            <w:pPr>
              <w:spacing w:line="276" w:lineRule="auto"/>
              <w:jc w:val="center"/>
              <w:rPr>
                <w:rFonts w:ascii="Garamond" w:hAnsi="Garamond"/>
                <w:color w:val="000000" w:themeColor="text1"/>
              </w:rPr>
            </w:pPr>
            <w:r w:rsidRPr="00192278">
              <w:rPr>
                <w:rFonts w:ascii="Garamond" w:hAnsi="Garamond"/>
                <w:color w:val="000000" w:themeColor="text1"/>
              </w:rPr>
              <w:t>Normal</w:t>
            </w:r>
          </w:p>
        </w:tc>
      </w:tr>
      <w:tr w:rsidR="00A32E71" w:rsidRPr="00192278" w14:paraId="3952607A" w14:textId="77777777" w:rsidTr="009D76F3">
        <w:trPr>
          <w:trHeight w:val="241"/>
          <w:jc w:val="center"/>
        </w:trPr>
        <w:tc>
          <w:tcPr>
            <w:tcW w:w="4380" w:type="dxa"/>
            <w:vMerge/>
          </w:tcPr>
          <w:p w14:paraId="34816290" w14:textId="77777777" w:rsidR="00A32E71" w:rsidRPr="00192278" w:rsidRDefault="00A32E71" w:rsidP="009D76F3">
            <w:pPr>
              <w:jc w:val="both"/>
              <w:rPr>
                <w:rFonts w:ascii="Garamond" w:hAnsi="Garamond"/>
                <w:color w:val="000000" w:themeColor="text1"/>
              </w:rPr>
            </w:pPr>
          </w:p>
        </w:tc>
        <w:tc>
          <w:tcPr>
            <w:tcW w:w="2008" w:type="dxa"/>
          </w:tcPr>
          <w:p w14:paraId="62AEEC0D" w14:textId="55746975" w:rsidR="00A32E71" w:rsidRPr="00192278" w:rsidRDefault="00965D4A" w:rsidP="009D76F3">
            <w:pPr>
              <w:jc w:val="both"/>
              <w:rPr>
                <w:rFonts w:ascii="Garamond" w:hAnsi="Garamond"/>
                <w:color w:val="000000" w:themeColor="text1"/>
              </w:rPr>
            </w:pPr>
            <w:r>
              <w:rPr>
                <w:rFonts w:ascii="Garamond" w:hAnsi="Garamond"/>
                <w:color w:val="000000" w:themeColor="text1"/>
              </w:rPr>
              <w:t>Female</w:t>
            </w:r>
          </w:p>
        </w:tc>
        <w:tc>
          <w:tcPr>
            <w:tcW w:w="984" w:type="dxa"/>
          </w:tcPr>
          <w:p w14:paraId="6BA2A256" w14:textId="77777777" w:rsidR="00A32E71" w:rsidRPr="00192278" w:rsidRDefault="00A32E71" w:rsidP="009D76F3">
            <w:pPr>
              <w:jc w:val="both"/>
              <w:rPr>
                <w:rFonts w:ascii="Garamond" w:hAnsi="Garamond"/>
                <w:color w:val="000000" w:themeColor="text1"/>
              </w:rPr>
            </w:pPr>
            <w:r w:rsidRPr="00192278">
              <w:rPr>
                <w:rFonts w:ascii="Garamond" w:hAnsi="Garamond"/>
                <w:color w:val="000000" w:themeColor="text1"/>
              </w:rPr>
              <w:t>0,628</w:t>
            </w:r>
          </w:p>
        </w:tc>
        <w:tc>
          <w:tcPr>
            <w:tcW w:w="1386" w:type="dxa"/>
          </w:tcPr>
          <w:p w14:paraId="593AA17F" w14:textId="77777777" w:rsidR="00A32E71" w:rsidRPr="00192278" w:rsidRDefault="00A32E71" w:rsidP="009D76F3">
            <w:pPr>
              <w:spacing w:line="276" w:lineRule="auto"/>
              <w:jc w:val="center"/>
              <w:rPr>
                <w:rFonts w:ascii="Garamond" w:hAnsi="Garamond"/>
                <w:color w:val="000000" w:themeColor="text1"/>
              </w:rPr>
            </w:pPr>
            <w:r w:rsidRPr="00192278">
              <w:rPr>
                <w:rFonts w:ascii="Garamond" w:hAnsi="Garamond"/>
                <w:color w:val="000000" w:themeColor="text1"/>
              </w:rPr>
              <w:t>Normal</w:t>
            </w:r>
          </w:p>
        </w:tc>
      </w:tr>
    </w:tbl>
    <w:p w14:paraId="284BEBE8" w14:textId="77777777" w:rsidR="00A32E71" w:rsidRPr="00192278" w:rsidRDefault="00A32E71" w:rsidP="00A32E71">
      <w:pPr>
        <w:spacing w:before="2" w:line="160" w:lineRule="exact"/>
        <w:rPr>
          <w:color w:val="000000" w:themeColor="text1"/>
          <w:sz w:val="16"/>
          <w:szCs w:val="16"/>
        </w:rPr>
      </w:pPr>
    </w:p>
    <w:p w14:paraId="03A5F6FB" w14:textId="77777777" w:rsidR="00A32E71" w:rsidRPr="00192278" w:rsidRDefault="00A32E71" w:rsidP="00A32E71">
      <w:pPr>
        <w:rPr>
          <w:color w:val="000000" w:themeColor="text1"/>
        </w:rPr>
      </w:pPr>
    </w:p>
    <w:p w14:paraId="1100AA8B" w14:textId="0547506E" w:rsidR="00A32E71" w:rsidRPr="00192278" w:rsidRDefault="00A32E71" w:rsidP="00A32E71">
      <w:pPr>
        <w:ind w:right="-1"/>
        <w:jc w:val="center"/>
        <w:rPr>
          <w:rFonts w:ascii="Garamond" w:hAnsi="Garamond"/>
          <w:color w:val="000000" w:themeColor="text1"/>
        </w:rPr>
      </w:pPr>
      <w:r w:rsidRPr="00192278">
        <w:rPr>
          <w:rFonts w:ascii="Garamond" w:hAnsi="Garamond"/>
          <w:b/>
          <w:color w:val="000000" w:themeColor="text1"/>
          <w:position w:val="-1"/>
        </w:rPr>
        <w:t xml:space="preserve">Tabel </w:t>
      </w:r>
      <w:r>
        <w:rPr>
          <w:rFonts w:ascii="Garamond" w:hAnsi="Garamond"/>
          <w:b/>
          <w:color w:val="000000" w:themeColor="text1"/>
          <w:position w:val="-1"/>
        </w:rPr>
        <w:t>5</w:t>
      </w:r>
      <w:r w:rsidRPr="00192278">
        <w:rPr>
          <w:rFonts w:ascii="Garamond" w:hAnsi="Garamond"/>
          <w:b/>
          <w:color w:val="000000" w:themeColor="text1"/>
          <w:position w:val="-1"/>
        </w:rPr>
        <w:t xml:space="preserve">. </w:t>
      </w:r>
      <w:r w:rsidR="00B56ECF">
        <w:rPr>
          <w:rFonts w:ascii="Garamond" w:hAnsi="Garamond"/>
          <w:color w:val="000000" w:themeColor="text1"/>
          <w:position w:val="-1"/>
        </w:rPr>
        <w:t>The homogenities data</w:t>
      </w:r>
    </w:p>
    <w:tbl>
      <w:tblPr>
        <w:tblStyle w:val="TableGrid"/>
        <w:tblW w:w="8747" w:type="dxa"/>
        <w:jc w:val="center"/>
        <w:tblLook w:val="04A0" w:firstRow="1" w:lastRow="0" w:firstColumn="1" w:lastColumn="0" w:noHBand="0" w:noVBand="1"/>
      </w:tblPr>
      <w:tblGrid>
        <w:gridCol w:w="4374"/>
        <w:gridCol w:w="1964"/>
        <w:gridCol w:w="1023"/>
        <w:gridCol w:w="1386"/>
      </w:tblGrid>
      <w:tr w:rsidR="00965D4A" w:rsidRPr="00192278" w14:paraId="2D27639C" w14:textId="77777777" w:rsidTr="009D76F3">
        <w:trPr>
          <w:trHeight w:val="241"/>
          <w:jc w:val="center"/>
        </w:trPr>
        <w:tc>
          <w:tcPr>
            <w:tcW w:w="4374" w:type="dxa"/>
            <w:vMerge w:val="restart"/>
            <w:vAlign w:val="center"/>
          </w:tcPr>
          <w:p w14:paraId="619B422D" w14:textId="37EFE7B4" w:rsidR="00965D4A" w:rsidRPr="00192278" w:rsidRDefault="00965D4A" w:rsidP="00965D4A">
            <w:pPr>
              <w:jc w:val="center"/>
              <w:rPr>
                <w:rFonts w:ascii="Garamond" w:hAnsi="Garamond"/>
                <w:b/>
                <w:color w:val="000000" w:themeColor="text1"/>
              </w:rPr>
            </w:pPr>
            <w:r>
              <w:rPr>
                <w:rFonts w:ascii="Garamond" w:hAnsi="Garamond"/>
                <w:b/>
                <w:color w:val="000000" w:themeColor="text1"/>
              </w:rPr>
              <w:t>Mathematical Critical Thinking</w:t>
            </w:r>
          </w:p>
        </w:tc>
        <w:tc>
          <w:tcPr>
            <w:tcW w:w="1964" w:type="dxa"/>
          </w:tcPr>
          <w:p w14:paraId="1C46B495" w14:textId="468452F6" w:rsidR="00965D4A" w:rsidRPr="00192278" w:rsidRDefault="00965D4A" w:rsidP="00965D4A">
            <w:pPr>
              <w:jc w:val="center"/>
              <w:rPr>
                <w:rFonts w:ascii="Garamond" w:hAnsi="Garamond"/>
                <w:b/>
                <w:color w:val="000000" w:themeColor="text1"/>
              </w:rPr>
            </w:pPr>
            <w:r>
              <w:rPr>
                <w:rFonts w:ascii="Garamond" w:hAnsi="Garamond"/>
                <w:b/>
                <w:color w:val="000000" w:themeColor="text1"/>
              </w:rPr>
              <w:t>Group</w:t>
            </w:r>
          </w:p>
        </w:tc>
        <w:tc>
          <w:tcPr>
            <w:tcW w:w="1023" w:type="dxa"/>
          </w:tcPr>
          <w:p w14:paraId="5F8A71BF" w14:textId="17163E73" w:rsidR="00965D4A" w:rsidRPr="00192278" w:rsidRDefault="00965D4A" w:rsidP="00965D4A">
            <w:pPr>
              <w:jc w:val="center"/>
              <w:rPr>
                <w:rFonts w:ascii="Garamond" w:hAnsi="Garamond"/>
                <w:b/>
                <w:color w:val="000000" w:themeColor="text1"/>
              </w:rPr>
            </w:pPr>
            <w:r w:rsidRPr="00192278">
              <w:rPr>
                <w:rFonts w:ascii="Garamond" w:hAnsi="Garamond"/>
                <w:b/>
                <w:color w:val="000000" w:themeColor="text1"/>
              </w:rPr>
              <w:t>Sig</w:t>
            </w:r>
          </w:p>
        </w:tc>
        <w:tc>
          <w:tcPr>
            <w:tcW w:w="1386" w:type="dxa"/>
          </w:tcPr>
          <w:p w14:paraId="5D3AA060" w14:textId="36A139C9" w:rsidR="00965D4A" w:rsidRPr="00192278" w:rsidRDefault="00965D4A" w:rsidP="00965D4A">
            <w:pPr>
              <w:jc w:val="center"/>
              <w:rPr>
                <w:rFonts w:ascii="Garamond" w:hAnsi="Garamond"/>
                <w:b/>
                <w:color w:val="000000" w:themeColor="text1"/>
              </w:rPr>
            </w:pPr>
            <w:r>
              <w:rPr>
                <w:rFonts w:ascii="Garamond" w:hAnsi="Garamond"/>
                <w:b/>
                <w:color w:val="000000" w:themeColor="text1"/>
              </w:rPr>
              <w:t>Decision</w:t>
            </w:r>
          </w:p>
        </w:tc>
      </w:tr>
      <w:tr w:rsidR="00A32E71" w:rsidRPr="00192278" w14:paraId="130539D1" w14:textId="77777777" w:rsidTr="009D76F3">
        <w:trPr>
          <w:trHeight w:val="241"/>
          <w:jc w:val="center"/>
        </w:trPr>
        <w:tc>
          <w:tcPr>
            <w:tcW w:w="4374" w:type="dxa"/>
            <w:vMerge/>
          </w:tcPr>
          <w:p w14:paraId="5B251E41" w14:textId="77777777" w:rsidR="00A32E71" w:rsidRPr="00192278" w:rsidRDefault="00A32E71" w:rsidP="009D76F3">
            <w:pPr>
              <w:jc w:val="both"/>
              <w:rPr>
                <w:rFonts w:ascii="Garamond" w:hAnsi="Garamond"/>
                <w:color w:val="000000" w:themeColor="text1"/>
              </w:rPr>
            </w:pPr>
          </w:p>
        </w:tc>
        <w:tc>
          <w:tcPr>
            <w:tcW w:w="1964" w:type="dxa"/>
          </w:tcPr>
          <w:p w14:paraId="3A068180" w14:textId="77777777" w:rsidR="00A32E71" w:rsidRPr="00092A5A" w:rsidRDefault="00A32E71" w:rsidP="009D76F3">
            <w:pPr>
              <w:spacing w:line="276" w:lineRule="auto"/>
              <w:jc w:val="both"/>
              <w:rPr>
                <w:rFonts w:ascii="Garamond" w:hAnsi="Garamond"/>
                <w:color w:val="000000" w:themeColor="text1"/>
              </w:rPr>
            </w:pPr>
            <w:r>
              <w:rPr>
                <w:rFonts w:ascii="Garamond" w:hAnsi="Garamond"/>
                <w:color w:val="000000" w:themeColor="text1"/>
              </w:rPr>
              <w:t>STEM</w:t>
            </w:r>
          </w:p>
        </w:tc>
        <w:tc>
          <w:tcPr>
            <w:tcW w:w="1023" w:type="dxa"/>
            <w:vMerge w:val="restart"/>
            <w:vAlign w:val="center"/>
          </w:tcPr>
          <w:p w14:paraId="26A2D5D5" w14:textId="77777777" w:rsidR="00A32E71" w:rsidRPr="00192278" w:rsidRDefault="00A32E71" w:rsidP="009D76F3">
            <w:pPr>
              <w:spacing w:line="276" w:lineRule="auto"/>
              <w:jc w:val="center"/>
              <w:rPr>
                <w:rFonts w:ascii="Garamond" w:hAnsi="Garamond"/>
                <w:color w:val="000000" w:themeColor="text1"/>
              </w:rPr>
            </w:pPr>
            <w:r w:rsidRPr="00192278">
              <w:rPr>
                <w:rFonts w:ascii="Garamond" w:hAnsi="Garamond"/>
                <w:color w:val="000000" w:themeColor="text1"/>
              </w:rPr>
              <w:t>0,678</w:t>
            </w:r>
          </w:p>
        </w:tc>
        <w:tc>
          <w:tcPr>
            <w:tcW w:w="1386" w:type="dxa"/>
            <w:vMerge w:val="restart"/>
            <w:vAlign w:val="center"/>
          </w:tcPr>
          <w:p w14:paraId="4FF2070C" w14:textId="77777777" w:rsidR="00A32E71" w:rsidRPr="00192278" w:rsidRDefault="00A32E71" w:rsidP="009D76F3">
            <w:pPr>
              <w:jc w:val="center"/>
              <w:rPr>
                <w:rFonts w:ascii="Garamond" w:hAnsi="Garamond"/>
                <w:color w:val="000000" w:themeColor="text1"/>
              </w:rPr>
            </w:pPr>
            <w:r w:rsidRPr="00192278">
              <w:rPr>
                <w:rFonts w:ascii="Garamond" w:hAnsi="Garamond"/>
                <w:color w:val="000000" w:themeColor="text1"/>
              </w:rPr>
              <w:t>Homogen</w:t>
            </w:r>
          </w:p>
        </w:tc>
      </w:tr>
      <w:tr w:rsidR="00A32E71" w:rsidRPr="00192278" w14:paraId="32E60376" w14:textId="77777777" w:rsidTr="009D76F3">
        <w:trPr>
          <w:trHeight w:val="241"/>
          <w:jc w:val="center"/>
        </w:trPr>
        <w:tc>
          <w:tcPr>
            <w:tcW w:w="4374" w:type="dxa"/>
            <w:vMerge/>
          </w:tcPr>
          <w:p w14:paraId="4A87D454" w14:textId="77777777" w:rsidR="00A32E71" w:rsidRPr="00192278" w:rsidRDefault="00A32E71" w:rsidP="009D76F3">
            <w:pPr>
              <w:jc w:val="both"/>
              <w:rPr>
                <w:rFonts w:ascii="Garamond" w:hAnsi="Garamond"/>
                <w:color w:val="000000" w:themeColor="text1"/>
              </w:rPr>
            </w:pPr>
          </w:p>
        </w:tc>
        <w:tc>
          <w:tcPr>
            <w:tcW w:w="1964" w:type="dxa"/>
          </w:tcPr>
          <w:p w14:paraId="57E96658" w14:textId="29F4419F" w:rsidR="00A32E71" w:rsidRPr="00192278" w:rsidRDefault="00965D4A" w:rsidP="009D76F3">
            <w:pPr>
              <w:spacing w:line="276" w:lineRule="auto"/>
              <w:jc w:val="both"/>
              <w:rPr>
                <w:rFonts w:ascii="Garamond" w:hAnsi="Garamond"/>
                <w:color w:val="000000" w:themeColor="text1"/>
              </w:rPr>
            </w:pPr>
            <w:r>
              <w:rPr>
                <w:rFonts w:ascii="Garamond" w:hAnsi="Garamond"/>
                <w:color w:val="000000" w:themeColor="text1"/>
              </w:rPr>
              <w:t>Ekspository</w:t>
            </w:r>
          </w:p>
        </w:tc>
        <w:tc>
          <w:tcPr>
            <w:tcW w:w="1023" w:type="dxa"/>
            <w:vMerge/>
            <w:vAlign w:val="center"/>
          </w:tcPr>
          <w:p w14:paraId="300810EA" w14:textId="77777777" w:rsidR="00A32E71" w:rsidRPr="00192278" w:rsidRDefault="00A32E71" w:rsidP="009D76F3">
            <w:pPr>
              <w:spacing w:line="276" w:lineRule="auto"/>
              <w:jc w:val="center"/>
              <w:rPr>
                <w:rFonts w:ascii="Garamond" w:hAnsi="Garamond"/>
                <w:color w:val="000000" w:themeColor="text1"/>
              </w:rPr>
            </w:pPr>
          </w:p>
        </w:tc>
        <w:tc>
          <w:tcPr>
            <w:tcW w:w="1386" w:type="dxa"/>
            <w:vMerge/>
            <w:vAlign w:val="center"/>
          </w:tcPr>
          <w:p w14:paraId="407DBDC5" w14:textId="77777777" w:rsidR="00A32E71" w:rsidRPr="00192278" w:rsidRDefault="00A32E71" w:rsidP="009D76F3">
            <w:pPr>
              <w:spacing w:line="276" w:lineRule="auto"/>
              <w:jc w:val="center"/>
              <w:rPr>
                <w:rFonts w:ascii="Garamond" w:hAnsi="Garamond"/>
                <w:color w:val="000000" w:themeColor="text1"/>
              </w:rPr>
            </w:pPr>
          </w:p>
        </w:tc>
      </w:tr>
      <w:tr w:rsidR="00A32E71" w:rsidRPr="00192278" w14:paraId="5ED0EB2C" w14:textId="77777777" w:rsidTr="009D76F3">
        <w:trPr>
          <w:trHeight w:val="241"/>
          <w:jc w:val="center"/>
        </w:trPr>
        <w:tc>
          <w:tcPr>
            <w:tcW w:w="4374" w:type="dxa"/>
            <w:vMerge/>
          </w:tcPr>
          <w:p w14:paraId="3D1F97FD" w14:textId="77777777" w:rsidR="00A32E71" w:rsidRPr="00192278" w:rsidRDefault="00A32E71" w:rsidP="009D76F3">
            <w:pPr>
              <w:jc w:val="both"/>
              <w:rPr>
                <w:rFonts w:ascii="Garamond" w:hAnsi="Garamond"/>
                <w:color w:val="000000" w:themeColor="text1"/>
              </w:rPr>
            </w:pPr>
          </w:p>
        </w:tc>
        <w:tc>
          <w:tcPr>
            <w:tcW w:w="1964" w:type="dxa"/>
          </w:tcPr>
          <w:p w14:paraId="0016A1C0" w14:textId="2B5A5ADD" w:rsidR="00A32E71" w:rsidRPr="00192278" w:rsidRDefault="00965D4A" w:rsidP="009D76F3">
            <w:pPr>
              <w:spacing w:line="276" w:lineRule="auto"/>
              <w:jc w:val="both"/>
              <w:rPr>
                <w:rFonts w:ascii="Garamond" w:hAnsi="Garamond"/>
                <w:color w:val="000000" w:themeColor="text1"/>
              </w:rPr>
            </w:pPr>
            <w:r>
              <w:rPr>
                <w:rFonts w:ascii="Garamond" w:hAnsi="Garamond"/>
                <w:color w:val="000000" w:themeColor="text1"/>
              </w:rPr>
              <w:t>Male</w:t>
            </w:r>
          </w:p>
        </w:tc>
        <w:tc>
          <w:tcPr>
            <w:tcW w:w="1023" w:type="dxa"/>
            <w:vMerge w:val="restart"/>
            <w:vAlign w:val="center"/>
          </w:tcPr>
          <w:p w14:paraId="7F47F83F" w14:textId="77777777" w:rsidR="00A32E71" w:rsidRPr="00192278" w:rsidRDefault="00A32E71" w:rsidP="009D76F3">
            <w:pPr>
              <w:jc w:val="center"/>
              <w:rPr>
                <w:rFonts w:ascii="Garamond" w:hAnsi="Garamond"/>
                <w:color w:val="000000" w:themeColor="text1"/>
              </w:rPr>
            </w:pPr>
            <w:r w:rsidRPr="00192278">
              <w:rPr>
                <w:rFonts w:ascii="Garamond" w:hAnsi="Garamond"/>
                <w:color w:val="000000" w:themeColor="text1"/>
              </w:rPr>
              <w:t>0,687</w:t>
            </w:r>
          </w:p>
        </w:tc>
        <w:tc>
          <w:tcPr>
            <w:tcW w:w="1386" w:type="dxa"/>
            <w:vMerge w:val="restart"/>
            <w:vAlign w:val="center"/>
          </w:tcPr>
          <w:p w14:paraId="070B7D41" w14:textId="77777777" w:rsidR="00A32E71" w:rsidRPr="00192278" w:rsidRDefault="00A32E71" w:rsidP="009D76F3">
            <w:pPr>
              <w:jc w:val="center"/>
              <w:rPr>
                <w:rFonts w:ascii="Garamond" w:hAnsi="Garamond"/>
                <w:color w:val="000000" w:themeColor="text1"/>
              </w:rPr>
            </w:pPr>
            <w:r w:rsidRPr="00192278">
              <w:rPr>
                <w:rFonts w:ascii="Garamond" w:hAnsi="Garamond"/>
                <w:color w:val="000000" w:themeColor="text1"/>
              </w:rPr>
              <w:t>Homogen</w:t>
            </w:r>
          </w:p>
        </w:tc>
      </w:tr>
      <w:tr w:rsidR="00A32E71" w:rsidRPr="00192278" w14:paraId="129456F8" w14:textId="77777777" w:rsidTr="009D76F3">
        <w:trPr>
          <w:trHeight w:val="241"/>
          <w:jc w:val="center"/>
        </w:trPr>
        <w:tc>
          <w:tcPr>
            <w:tcW w:w="4374" w:type="dxa"/>
            <w:vMerge/>
          </w:tcPr>
          <w:p w14:paraId="0FDAD88B" w14:textId="77777777" w:rsidR="00A32E71" w:rsidRPr="00192278" w:rsidRDefault="00A32E71" w:rsidP="009D76F3">
            <w:pPr>
              <w:jc w:val="both"/>
              <w:rPr>
                <w:rFonts w:ascii="Garamond" w:hAnsi="Garamond"/>
                <w:color w:val="000000" w:themeColor="text1"/>
              </w:rPr>
            </w:pPr>
          </w:p>
        </w:tc>
        <w:tc>
          <w:tcPr>
            <w:tcW w:w="1964" w:type="dxa"/>
          </w:tcPr>
          <w:p w14:paraId="59B21301" w14:textId="6B29DD10" w:rsidR="00A32E71" w:rsidRPr="00192278" w:rsidRDefault="00965D4A" w:rsidP="009D76F3">
            <w:pPr>
              <w:jc w:val="both"/>
              <w:rPr>
                <w:rFonts w:ascii="Garamond" w:hAnsi="Garamond"/>
                <w:color w:val="000000" w:themeColor="text1"/>
              </w:rPr>
            </w:pPr>
            <w:r>
              <w:rPr>
                <w:rFonts w:ascii="Garamond" w:hAnsi="Garamond"/>
                <w:color w:val="000000" w:themeColor="text1"/>
              </w:rPr>
              <w:t>Female</w:t>
            </w:r>
          </w:p>
        </w:tc>
        <w:tc>
          <w:tcPr>
            <w:tcW w:w="1023" w:type="dxa"/>
            <w:vMerge/>
          </w:tcPr>
          <w:p w14:paraId="1F8FE448" w14:textId="77777777" w:rsidR="00A32E71" w:rsidRPr="00192278" w:rsidRDefault="00A32E71" w:rsidP="009D76F3">
            <w:pPr>
              <w:jc w:val="both"/>
              <w:rPr>
                <w:rFonts w:ascii="Garamond" w:hAnsi="Garamond"/>
                <w:color w:val="000000" w:themeColor="text1"/>
              </w:rPr>
            </w:pPr>
          </w:p>
        </w:tc>
        <w:tc>
          <w:tcPr>
            <w:tcW w:w="1386" w:type="dxa"/>
            <w:vMerge/>
          </w:tcPr>
          <w:p w14:paraId="6E356C9B" w14:textId="77777777" w:rsidR="00A32E71" w:rsidRPr="00192278" w:rsidRDefault="00A32E71" w:rsidP="009D76F3">
            <w:pPr>
              <w:spacing w:line="276" w:lineRule="auto"/>
              <w:jc w:val="center"/>
              <w:rPr>
                <w:rFonts w:ascii="Garamond" w:hAnsi="Garamond"/>
                <w:color w:val="000000" w:themeColor="text1"/>
              </w:rPr>
            </w:pPr>
          </w:p>
        </w:tc>
      </w:tr>
    </w:tbl>
    <w:p w14:paraId="5D7C9CFD" w14:textId="3495ED16" w:rsidR="00A32E71" w:rsidRDefault="00A32E71" w:rsidP="00755763">
      <w:pPr>
        <w:autoSpaceDE w:val="0"/>
        <w:ind w:firstLine="567"/>
        <w:jc w:val="both"/>
        <w:rPr>
          <w:rFonts w:ascii="Cambria" w:hAnsi="Cambria"/>
          <w:sz w:val="22"/>
          <w:szCs w:val="22"/>
          <w:lang w:val="id-ID"/>
        </w:rPr>
      </w:pPr>
    </w:p>
    <w:p w14:paraId="76B53B75" w14:textId="321F0722" w:rsidR="00A32E71" w:rsidRDefault="00A32E71" w:rsidP="00755763">
      <w:pPr>
        <w:autoSpaceDE w:val="0"/>
        <w:ind w:firstLine="567"/>
        <w:jc w:val="both"/>
        <w:rPr>
          <w:rFonts w:ascii="Cambria" w:hAnsi="Cambria"/>
          <w:sz w:val="22"/>
          <w:szCs w:val="22"/>
          <w:lang w:val="id-ID"/>
        </w:rPr>
      </w:pPr>
      <w:r w:rsidRPr="00A32E71">
        <w:rPr>
          <w:rFonts w:ascii="Cambria" w:hAnsi="Cambria"/>
          <w:sz w:val="22"/>
          <w:szCs w:val="22"/>
          <w:lang w:val="id-ID"/>
        </w:rPr>
        <w:t>According to the data in Tables 4 and 5, the data is normally distributed and has the same variation. To test the data hypothesis, use the parametric statistics of the 2 x 2 factorial two-way ANOVA test with the SPSS program.</w:t>
      </w:r>
    </w:p>
    <w:p w14:paraId="6B617D7D" w14:textId="6AFA67D7" w:rsidR="00A32E71" w:rsidRDefault="00A32E71" w:rsidP="00755763">
      <w:pPr>
        <w:autoSpaceDE w:val="0"/>
        <w:ind w:firstLine="567"/>
        <w:jc w:val="both"/>
        <w:rPr>
          <w:rFonts w:ascii="Cambria" w:hAnsi="Cambria"/>
          <w:sz w:val="22"/>
          <w:szCs w:val="22"/>
          <w:lang w:val="id-ID"/>
        </w:rPr>
      </w:pPr>
    </w:p>
    <w:p w14:paraId="6E991580" w14:textId="3A06BB70" w:rsidR="00685CF5" w:rsidRPr="00192278" w:rsidRDefault="00685CF5" w:rsidP="00685CF5">
      <w:pPr>
        <w:jc w:val="center"/>
        <w:rPr>
          <w:rFonts w:ascii="Garamond" w:hAnsi="Garamond"/>
          <w:b/>
          <w:color w:val="000000" w:themeColor="text1"/>
          <w:position w:val="-1"/>
        </w:rPr>
      </w:pPr>
      <w:r w:rsidRPr="00192278">
        <w:rPr>
          <w:rFonts w:ascii="Garamond" w:hAnsi="Garamond"/>
          <w:b/>
          <w:color w:val="000000" w:themeColor="text1"/>
        </w:rPr>
        <w:t xml:space="preserve">Tabel </w:t>
      </w:r>
      <w:r>
        <w:rPr>
          <w:rFonts w:ascii="Garamond" w:hAnsi="Garamond"/>
          <w:b/>
          <w:color w:val="000000" w:themeColor="text1"/>
        </w:rPr>
        <w:t>6</w:t>
      </w:r>
      <w:r w:rsidRPr="00192278">
        <w:rPr>
          <w:rFonts w:ascii="Garamond" w:hAnsi="Garamond"/>
          <w:color w:val="000000" w:themeColor="text1"/>
        </w:rPr>
        <w:t xml:space="preserve">. </w:t>
      </w:r>
      <w:r>
        <w:rPr>
          <w:rFonts w:ascii="Garamond" w:hAnsi="Garamond"/>
          <w:color w:val="000000" w:themeColor="text1"/>
          <w:position w:val="-1"/>
        </w:rPr>
        <w:t>The result of hypothesis</w:t>
      </w:r>
    </w:p>
    <w:tbl>
      <w:tblPr>
        <w:tblStyle w:val="TableGrid"/>
        <w:tblW w:w="6982" w:type="dxa"/>
        <w:jc w:val="center"/>
        <w:tblLayout w:type="fixed"/>
        <w:tblLook w:val="04A0" w:firstRow="1" w:lastRow="0" w:firstColumn="1" w:lastColumn="0" w:noHBand="0" w:noVBand="1"/>
      </w:tblPr>
      <w:tblGrid>
        <w:gridCol w:w="2446"/>
        <w:gridCol w:w="4536"/>
      </w:tblGrid>
      <w:tr w:rsidR="008023DF" w:rsidRPr="00192278" w14:paraId="3DB330B0" w14:textId="77777777" w:rsidTr="008023DF">
        <w:trPr>
          <w:jc w:val="center"/>
        </w:trPr>
        <w:tc>
          <w:tcPr>
            <w:tcW w:w="2446" w:type="dxa"/>
            <w:vAlign w:val="center"/>
          </w:tcPr>
          <w:p w14:paraId="01DAD1CE" w14:textId="05796F5D" w:rsidR="008023DF" w:rsidRPr="00192278" w:rsidRDefault="001504C5" w:rsidP="009D76F3">
            <w:pPr>
              <w:jc w:val="center"/>
              <w:rPr>
                <w:rFonts w:ascii="Garamond" w:hAnsi="Garamond"/>
                <w:b/>
                <w:color w:val="000000" w:themeColor="text1"/>
              </w:rPr>
            </w:pPr>
            <w:r>
              <w:rPr>
                <w:rFonts w:ascii="Garamond" w:hAnsi="Garamond"/>
                <w:b/>
                <w:color w:val="000000" w:themeColor="text1"/>
              </w:rPr>
              <w:t>Group</w:t>
            </w:r>
          </w:p>
        </w:tc>
        <w:tc>
          <w:tcPr>
            <w:tcW w:w="4536" w:type="dxa"/>
            <w:vAlign w:val="center"/>
          </w:tcPr>
          <w:p w14:paraId="42AF7A84" w14:textId="2BB6341C" w:rsidR="008023DF" w:rsidRPr="00192278" w:rsidRDefault="008023DF" w:rsidP="009D76F3">
            <w:pPr>
              <w:jc w:val="center"/>
              <w:rPr>
                <w:rFonts w:ascii="Garamond" w:hAnsi="Garamond"/>
                <w:b/>
                <w:color w:val="000000" w:themeColor="text1"/>
              </w:rPr>
            </w:pPr>
            <w:r>
              <w:rPr>
                <w:rFonts w:ascii="Garamond" w:hAnsi="Garamond"/>
                <w:b/>
                <w:color w:val="000000" w:themeColor="text1"/>
              </w:rPr>
              <w:t>Sig</w:t>
            </w:r>
          </w:p>
        </w:tc>
      </w:tr>
      <w:tr w:rsidR="008023DF" w:rsidRPr="00192278" w14:paraId="58A9B374" w14:textId="77777777" w:rsidTr="008023DF">
        <w:trPr>
          <w:jc w:val="center"/>
        </w:trPr>
        <w:tc>
          <w:tcPr>
            <w:tcW w:w="2446" w:type="dxa"/>
          </w:tcPr>
          <w:p w14:paraId="1E5FA37C" w14:textId="0C0A27CE" w:rsidR="008023DF" w:rsidRPr="00192278" w:rsidRDefault="008023DF" w:rsidP="009D76F3">
            <w:pPr>
              <w:spacing w:line="276" w:lineRule="auto"/>
              <w:jc w:val="center"/>
              <w:rPr>
                <w:rFonts w:ascii="Garamond" w:hAnsi="Garamond"/>
                <w:color w:val="000000" w:themeColor="text1"/>
              </w:rPr>
            </w:pPr>
            <w:r>
              <w:rPr>
                <w:rFonts w:ascii="Garamond" w:hAnsi="Garamond"/>
                <w:color w:val="000000" w:themeColor="text1"/>
              </w:rPr>
              <w:t>Teaching Method</w:t>
            </w:r>
          </w:p>
        </w:tc>
        <w:tc>
          <w:tcPr>
            <w:tcW w:w="4536" w:type="dxa"/>
            <w:vAlign w:val="center"/>
          </w:tcPr>
          <w:p w14:paraId="560F93D4" w14:textId="4F31743F" w:rsidR="008023DF" w:rsidRPr="00192278" w:rsidRDefault="00642202" w:rsidP="009D76F3">
            <w:pPr>
              <w:spacing w:line="276" w:lineRule="auto"/>
              <w:jc w:val="center"/>
              <w:rPr>
                <w:rFonts w:ascii="Garamond" w:hAnsi="Garamond"/>
                <w:color w:val="000000" w:themeColor="text1"/>
              </w:rPr>
            </w:pPr>
            <w:r>
              <w:rPr>
                <w:rFonts w:ascii="Garamond" w:hAnsi="Garamond"/>
                <w:color w:val="000000" w:themeColor="text1"/>
              </w:rPr>
              <w:t>0.047 &lt; 0.</w:t>
            </w:r>
            <w:r w:rsidR="008023DF" w:rsidRPr="00192278">
              <w:rPr>
                <w:rFonts w:ascii="Garamond" w:hAnsi="Garamond"/>
                <w:color w:val="000000" w:themeColor="text1"/>
              </w:rPr>
              <w:t>05</w:t>
            </w:r>
          </w:p>
        </w:tc>
      </w:tr>
      <w:tr w:rsidR="008023DF" w:rsidRPr="00192278" w14:paraId="7E88D1A6" w14:textId="77777777" w:rsidTr="008023DF">
        <w:trPr>
          <w:jc w:val="center"/>
        </w:trPr>
        <w:tc>
          <w:tcPr>
            <w:tcW w:w="2446" w:type="dxa"/>
          </w:tcPr>
          <w:p w14:paraId="0156502C" w14:textId="77777777" w:rsidR="008023DF" w:rsidRPr="00192278" w:rsidRDefault="008023DF" w:rsidP="009D76F3">
            <w:pPr>
              <w:spacing w:line="276" w:lineRule="auto"/>
              <w:jc w:val="center"/>
              <w:rPr>
                <w:rFonts w:ascii="Garamond" w:hAnsi="Garamond"/>
                <w:color w:val="000000" w:themeColor="text1"/>
              </w:rPr>
            </w:pPr>
            <w:r w:rsidRPr="00192278">
              <w:rPr>
                <w:rFonts w:ascii="Garamond" w:hAnsi="Garamond"/>
                <w:color w:val="000000" w:themeColor="text1"/>
              </w:rPr>
              <w:t>Gender</w:t>
            </w:r>
          </w:p>
        </w:tc>
        <w:tc>
          <w:tcPr>
            <w:tcW w:w="4536" w:type="dxa"/>
            <w:vAlign w:val="center"/>
          </w:tcPr>
          <w:p w14:paraId="674E5218" w14:textId="176ACF05" w:rsidR="008023DF" w:rsidRPr="00192278" w:rsidRDefault="00642202" w:rsidP="009D76F3">
            <w:pPr>
              <w:spacing w:line="276" w:lineRule="auto"/>
              <w:jc w:val="center"/>
              <w:rPr>
                <w:rFonts w:ascii="Garamond" w:hAnsi="Garamond"/>
                <w:color w:val="000000" w:themeColor="text1"/>
              </w:rPr>
            </w:pPr>
            <w:r>
              <w:rPr>
                <w:rFonts w:ascii="Garamond" w:hAnsi="Garamond"/>
                <w:color w:val="000000" w:themeColor="text1"/>
              </w:rPr>
              <w:t>0.029 &lt; 0.</w:t>
            </w:r>
            <w:r w:rsidR="008023DF" w:rsidRPr="00192278">
              <w:rPr>
                <w:rFonts w:ascii="Garamond" w:hAnsi="Garamond"/>
                <w:color w:val="000000" w:themeColor="text1"/>
              </w:rPr>
              <w:t>05</w:t>
            </w:r>
          </w:p>
        </w:tc>
      </w:tr>
      <w:tr w:rsidR="008023DF" w:rsidRPr="00192278" w14:paraId="5616BAEB" w14:textId="77777777" w:rsidTr="008023DF">
        <w:trPr>
          <w:jc w:val="center"/>
        </w:trPr>
        <w:tc>
          <w:tcPr>
            <w:tcW w:w="2446" w:type="dxa"/>
          </w:tcPr>
          <w:p w14:paraId="61DFD7C5" w14:textId="43546A4F" w:rsidR="008023DF" w:rsidRPr="00192278" w:rsidRDefault="008023DF" w:rsidP="009D76F3">
            <w:pPr>
              <w:spacing w:line="276" w:lineRule="auto"/>
              <w:jc w:val="center"/>
              <w:rPr>
                <w:rFonts w:ascii="Garamond" w:hAnsi="Garamond"/>
                <w:color w:val="000000" w:themeColor="text1"/>
              </w:rPr>
            </w:pPr>
            <w:r>
              <w:rPr>
                <w:rFonts w:ascii="Garamond" w:hAnsi="Garamond"/>
                <w:color w:val="000000" w:themeColor="text1"/>
              </w:rPr>
              <w:t>Interaction</w:t>
            </w:r>
          </w:p>
        </w:tc>
        <w:tc>
          <w:tcPr>
            <w:tcW w:w="4536" w:type="dxa"/>
            <w:vAlign w:val="center"/>
          </w:tcPr>
          <w:p w14:paraId="6365942E" w14:textId="78C75646" w:rsidR="008023DF" w:rsidRPr="00192278" w:rsidRDefault="00642202" w:rsidP="009D76F3">
            <w:pPr>
              <w:spacing w:line="276" w:lineRule="auto"/>
              <w:jc w:val="center"/>
              <w:rPr>
                <w:rFonts w:ascii="Garamond" w:hAnsi="Garamond"/>
                <w:color w:val="000000" w:themeColor="text1"/>
              </w:rPr>
            </w:pPr>
            <w:r>
              <w:rPr>
                <w:rFonts w:ascii="Garamond" w:hAnsi="Garamond"/>
                <w:color w:val="000000" w:themeColor="text1"/>
              </w:rPr>
              <w:t>0.907 &gt; 0.</w:t>
            </w:r>
            <w:r w:rsidR="008023DF" w:rsidRPr="00192278">
              <w:rPr>
                <w:rFonts w:ascii="Garamond" w:hAnsi="Garamond"/>
                <w:color w:val="000000" w:themeColor="text1"/>
              </w:rPr>
              <w:t>05</w:t>
            </w:r>
          </w:p>
        </w:tc>
      </w:tr>
    </w:tbl>
    <w:p w14:paraId="236E9E5D" w14:textId="55F31F1D" w:rsidR="00685CF5" w:rsidRDefault="00685CF5" w:rsidP="00755763">
      <w:pPr>
        <w:autoSpaceDE w:val="0"/>
        <w:ind w:firstLine="567"/>
        <w:jc w:val="both"/>
        <w:rPr>
          <w:rFonts w:ascii="Cambria" w:hAnsi="Cambria"/>
          <w:sz w:val="22"/>
          <w:szCs w:val="22"/>
          <w:lang w:val="id-ID"/>
        </w:rPr>
      </w:pPr>
    </w:p>
    <w:p w14:paraId="6AFD8F5F" w14:textId="7BE0E0FC" w:rsidR="00685CF5" w:rsidRDefault="007C1949" w:rsidP="00755763">
      <w:pPr>
        <w:autoSpaceDE w:val="0"/>
        <w:ind w:firstLine="567"/>
        <w:jc w:val="both"/>
        <w:rPr>
          <w:rFonts w:ascii="Cambria" w:hAnsi="Cambria"/>
          <w:sz w:val="22"/>
          <w:szCs w:val="22"/>
          <w:lang w:val="id-ID"/>
        </w:rPr>
      </w:pPr>
      <w:r w:rsidRPr="007C1949">
        <w:rPr>
          <w:rFonts w:ascii="Cambria" w:hAnsi="Cambria"/>
          <w:sz w:val="22"/>
          <w:szCs w:val="22"/>
          <w:lang w:val="id-ID"/>
        </w:rPr>
        <w:t>According to the study's findings in Table 2, the average value of STEM learners is 70.70, while the average value of expository learners is 60.50. This demonstrates that STEM learning provides students with a better learning experience than expository learning, particularly when it comes to geometry material. This is due to the fact that STEM learning provides students with innovative ideas.</w:t>
      </w:r>
    </w:p>
    <w:p w14:paraId="7D241AAE" w14:textId="17BC20D3" w:rsidR="007C1949" w:rsidRPr="007C1949" w:rsidRDefault="007C1949" w:rsidP="00755763">
      <w:pPr>
        <w:autoSpaceDE w:val="0"/>
        <w:ind w:firstLine="567"/>
        <w:jc w:val="both"/>
        <w:rPr>
          <w:rFonts w:ascii="Cambria" w:hAnsi="Cambria"/>
          <w:sz w:val="22"/>
          <w:szCs w:val="22"/>
          <w:lang w:val="id-ID"/>
        </w:rPr>
      </w:pPr>
      <w:r w:rsidRPr="007C1949">
        <w:rPr>
          <w:rFonts w:ascii="Cambria" w:hAnsi="Cambria"/>
          <w:sz w:val="22"/>
          <w:szCs w:val="22"/>
          <w:lang w:val="id-ID"/>
        </w:rPr>
        <w:t xml:space="preserve">Furthermore, it can be seen that the STEM learning steps combine creativity and learning experiences. So that students become accustomed to using it in everyday situations. Students' STEM learning steps, such as observation, provide new experiences in geometry learning. Students can participate in discussions to express their ideas and opinions about what they see (observe). These STEM steps will provide students with new information on what has been observed, allowing them to analyze and think critically </w:t>
      </w:r>
      <w:r w:rsidRPr="007C1949">
        <w:rPr>
          <w:rFonts w:ascii="Cambria" w:hAnsi="Cambria"/>
          <w:iCs/>
          <w:color w:val="000000"/>
          <w:sz w:val="22"/>
          <w:szCs w:val="22"/>
        </w:rPr>
        <w:fldChar w:fldCharType="begin"/>
      </w:r>
      <w:r w:rsidR="00746718">
        <w:rPr>
          <w:rFonts w:ascii="Cambria" w:hAnsi="Cambria"/>
          <w:iCs/>
          <w:color w:val="000000"/>
          <w:sz w:val="22"/>
          <w:szCs w:val="22"/>
        </w:rPr>
        <w:instrText xml:space="preserve"> ADDIN ZOTERO_ITEM CSL_CITATION {"citationID":"2l51ywCb","properties":{"formattedCitation":"(Borrego &amp; Henderson, 2014; Hobbs et al., 2018; Kusumah, 2019)","plainCitation":"(Borrego &amp; Henderson, 2014; Hobbs et al., 2018; Kusumah, 2019)","noteIndex":0},"citationItems":[{"id":"DvVQWWbP/125uYqrd","uris":["http://zotero.org/users/local/ndX0FRyc/items/UPQ2NHU5"],"uri":["http://zotero.org/users/local/ndX0FRyc/items/UPQ2NHU5"],"itemData":{"id":557,"type":"article-journal","container-title":"Journal of Engineering Education","issue":"2","note":"ISBN: 1069-4730\npublisher: Wiley Online Library","page":"220-252","title":"Increasing the use of evidence‐based teaching in STEM higher education: A comparison of eight change strategies","volume":"103","author":[{"family":"Borrego","given":"Maura"},{"family":"Henderson","given":"Charles"}],"issued":{"date-parts":[["2014"]]}}},{"id":"DvVQWWbP/aLc1wIJy","uris":["http://zotero.org/users/local/ndX0FRyc/items/IXG637YC"],"uri":["http://zotero.org/users/local/ndX0FRyc/items/IXG637YC"],"itemData":{"id":479,"type":"chapter","container-title":"STEM education in the junior secondary","page":"133-168","publisher":"Springer","title":"Successful students–STEM program: Teacher learning through a multifaceted vision for STEM education","author":[{"family":"Hobbs","given":"Linda"},{"family":"Clark","given":"John Cripps"},{"family":"Plant","given":"Barry"}],"issued":{"date-parts":[["2018"]]}}},{"id":"DvVQWWbP/3YigDJh4","uris":["http://zotero.org/users/local/ndX0FRyc/items/8CK7Z8FD"],"uri":["http://zotero.org/users/local/ndX0FRyc/items/8CK7Z8FD"],"itemData":{"id":605,"type":"article-journal","container-title":"IJIS Edu: Indonesian Journal of Integrated Science Education","issue":"1","note":"ISBN: 2655-2450","page":"71-84","title":"Peningkatan Kemampuan Berfikir Kritis Mahasiswa Tadris IPA Melalui Pendekatan Saintifik Pada Mata kuliah IPA Terpadu","volume":"1","author":[{"family":"Kusumah","given":"Raden Gamal Tamrin"}],"issued":{"date-parts":[["2019"]]}}}],"schema":"https://github.com/citation-style-language/schema/raw/master/csl-citation.json"} </w:instrText>
      </w:r>
      <w:r w:rsidRPr="007C1949">
        <w:rPr>
          <w:rFonts w:ascii="Cambria" w:hAnsi="Cambria"/>
          <w:iCs/>
          <w:color w:val="000000"/>
          <w:sz w:val="22"/>
          <w:szCs w:val="22"/>
        </w:rPr>
        <w:fldChar w:fldCharType="separate"/>
      </w:r>
      <w:r w:rsidRPr="007C1949">
        <w:rPr>
          <w:rFonts w:ascii="Cambria" w:hAnsi="Cambria"/>
          <w:sz w:val="22"/>
          <w:szCs w:val="22"/>
        </w:rPr>
        <w:t>(Borrego &amp; Henderson, 2014; Hobbs et al., 2018; Kusumah, 2019)</w:t>
      </w:r>
      <w:r w:rsidRPr="007C1949">
        <w:rPr>
          <w:rFonts w:ascii="Cambria" w:hAnsi="Cambria"/>
          <w:iCs/>
          <w:color w:val="000000"/>
          <w:sz w:val="22"/>
          <w:szCs w:val="22"/>
        </w:rPr>
        <w:fldChar w:fldCharType="end"/>
      </w:r>
      <w:r w:rsidRPr="007C1949">
        <w:rPr>
          <w:rFonts w:ascii="Cambria" w:hAnsi="Cambria"/>
          <w:iCs/>
          <w:color w:val="000000"/>
          <w:sz w:val="22"/>
          <w:szCs w:val="22"/>
        </w:rPr>
        <w:t>.</w:t>
      </w:r>
    </w:p>
    <w:p w14:paraId="3FDD2638" w14:textId="7EA225E7" w:rsidR="009F1359" w:rsidRPr="009F1359" w:rsidRDefault="009F1359" w:rsidP="009F1359">
      <w:pPr>
        <w:autoSpaceDE w:val="0"/>
        <w:ind w:firstLine="567"/>
        <w:jc w:val="both"/>
        <w:rPr>
          <w:rFonts w:ascii="Cambria" w:hAnsi="Cambria"/>
          <w:sz w:val="22"/>
          <w:szCs w:val="22"/>
          <w:lang w:val="id-ID"/>
        </w:rPr>
      </w:pPr>
      <w:r w:rsidRPr="009F1359">
        <w:rPr>
          <w:rFonts w:ascii="Cambria" w:hAnsi="Cambria"/>
          <w:sz w:val="22"/>
          <w:szCs w:val="22"/>
          <w:lang w:val="id-ID"/>
        </w:rPr>
        <w:t xml:space="preserve">Following </w:t>
      </w:r>
      <w:r>
        <w:rPr>
          <w:rFonts w:ascii="Cambria" w:hAnsi="Cambria"/>
          <w:sz w:val="22"/>
          <w:szCs w:val="22"/>
        </w:rPr>
        <w:t>the next STEM steps</w:t>
      </w:r>
      <w:r w:rsidRPr="009F1359">
        <w:rPr>
          <w:rFonts w:ascii="Cambria" w:hAnsi="Cambria"/>
          <w:sz w:val="22"/>
          <w:szCs w:val="22"/>
          <w:lang w:val="id-ID"/>
        </w:rPr>
        <w:t xml:space="preserve">, there is an innovation step in which students will incorporate new ideas into their observations. With this concept, it is hoped that students' creativity will be realized and that they will be able to apply the concepts in their daily lives. The final STEM step is to </w:t>
      </w:r>
      <w:r w:rsidRPr="009F1359">
        <w:rPr>
          <w:rFonts w:ascii="Cambria" w:hAnsi="Cambria"/>
          <w:sz w:val="22"/>
          <w:szCs w:val="22"/>
          <w:lang w:val="id-ID"/>
        </w:rPr>
        <w:lastRenderedPageBreak/>
        <w:t>provide students with value (society). It is hoped that students will gain a greater appreciation for what they receive, resulting in increased learning.</w:t>
      </w:r>
    </w:p>
    <w:p w14:paraId="39C51901" w14:textId="03E2BEDD" w:rsidR="00685CF5" w:rsidRPr="00BC1E49" w:rsidRDefault="009F1359" w:rsidP="009F1359">
      <w:pPr>
        <w:autoSpaceDE w:val="0"/>
        <w:ind w:firstLine="567"/>
        <w:jc w:val="both"/>
        <w:rPr>
          <w:rFonts w:ascii="Cambria" w:hAnsi="Cambria"/>
          <w:sz w:val="22"/>
          <w:szCs w:val="22"/>
        </w:rPr>
      </w:pPr>
      <w:r w:rsidRPr="009F1359">
        <w:rPr>
          <w:rFonts w:ascii="Cambria" w:hAnsi="Cambria"/>
          <w:sz w:val="22"/>
          <w:szCs w:val="22"/>
          <w:lang w:val="id-ID"/>
        </w:rPr>
        <w:t xml:space="preserve">This is also </w:t>
      </w:r>
      <w:r w:rsidRPr="00F469FA">
        <w:rPr>
          <w:rFonts w:ascii="Cambria" w:hAnsi="Cambria"/>
          <w:sz w:val="22"/>
          <w:szCs w:val="22"/>
          <w:lang w:val="id-ID"/>
        </w:rPr>
        <w:t xml:space="preserve">consistent with research findings that STEM learning can provide and improve students' critical thinking skills </w:t>
      </w:r>
      <w:r w:rsidRPr="00F469FA">
        <w:rPr>
          <w:rFonts w:ascii="Cambria" w:hAnsi="Cambria"/>
          <w:iCs/>
          <w:color w:val="000000"/>
          <w:sz w:val="22"/>
          <w:szCs w:val="22"/>
        </w:rPr>
        <w:fldChar w:fldCharType="begin"/>
      </w:r>
      <w:r w:rsidR="00F469FA" w:rsidRPr="00F469FA">
        <w:rPr>
          <w:rFonts w:ascii="Cambria" w:hAnsi="Cambria"/>
          <w:iCs/>
          <w:color w:val="000000"/>
          <w:sz w:val="22"/>
          <w:szCs w:val="22"/>
        </w:rPr>
        <w:instrText xml:space="preserve"> ADDIN ZOTERO_ITEM CSL_CITATION {"citationID":"NbTmI5fh","properties":{"formattedCitation":"(Struyf et al., 2019)","plainCitation":"(Struyf et al., 2019)","noteIndex":0},"citationItems":[{"id":1441,"uris":["http://zotero.org/users/4795968/items/7VAZUNCK"],"uri":["http://zotero.org/users/4795968/items/7VAZUNCK"],"itemData":{"id":1441,"type":"article-journal","container-title":"International Journal of Science Education","issue":"10","note":"ISBN: 0950-0693\npublisher: Taylor &amp; Francis","page":"1387-1407","title":"Students’ engagement in different STEM learning environments: integrated STEM education as promising practice?","volume":"41","author":[{"family":"Struyf","given":"Annemie"},{"family":"De Loof","given":"Haydée"},{"family":"Boeve-de Pauw","given":"Jelle"},{"family":"Van Petegem","given":"Peter"}],"issued":{"date-parts":[["2019"]]}}}],"schema":"https://github.com/citation-style-language/schema/raw/master/csl-citation.json"} </w:instrText>
      </w:r>
      <w:r w:rsidRPr="00F469FA">
        <w:rPr>
          <w:rFonts w:ascii="Cambria" w:hAnsi="Cambria"/>
          <w:iCs/>
          <w:color w:val="000000"/>
          <w:sz w:val="22"/>
          <w:szCs w:val="22"/>
        </w:rPr>
        <w:fldChar w:fldCharType="separate"/>
      </w:r>
      <w:r w:rsidR="00F469FA" w:rsidRPr="00F469FA">
        <w:rPr>
          <w:rFonts w:ascii="Cambria" w:hAnsi="Cambria"/>
          <w:sz w:val="22"/>
          <w:szCs w:val="22"/>
        </w:rPr>
        <w:t>(Struyf et al., 2019)</w:t>
      </w:r>
      <w:r w:rsidRPr="00F469FA">
        <w:rPr>
          <w:rFonts w:ascii="Cambria" w:hAnsi="Cambria"/>
          <w:iCs/>
          <w:color w:val="000000"/>
          <w:sz w:val="22"/>
          <w:szCs w:val="22"/>
        </w:rPr>
        <w:fldChar w:fldCharType="end"/>
      </w:r>
      <w:r w:rsidRPr="00F469FA">
        <w:rPr>
          <w:rFonts w:ascii="Cambria" w:hAnsi="Cambria"/>
          <w:sz w:val="22"/>
          <w:szCs w:val="22"/>
          <w:lang w:val="id-ID"/>
        </w:rPr>
        <w:t>,</w:t>
      </w:r>
      <w:r w:rsidRPr="009F1359">
        <w:rPr>
          <w:rFonts w:ascii="Cambria" w:hAnsi="Cambria"/>
          <w:sz w:val="22"/>
          <w:szCs w:val="22"/>
          <w:lang w:val="id-ID"/>
        </w:rPr>
        <w:t xml:space="preserve"> so that students are trained to understand geometric concepts by thinking critically.</w:t>
      </w:r>
      <w:r w:rsidR="00BC1E49">
        <w:rPr>
          <w:rFonts w:ascii="Cambria" w:hAnsi="Cambria"/>
          <w:sz w:val="22"/>
          <w:szCs w:val="22"/>
        </w:rPr>
        <w:t xml:space="preserve"> The concept can be implemented using </w:t>
      </w:r>
      <w:r w:rsidR="00BC1E49">
        <w:rPr>
          <w:rFonts w:ascii="Cambria" w:hAnsi="Cambria"/>
          <w:color w:val="000000" w:themeColor="text1"/>
          <w:sz w:val="22"/>
          <w:szCs w:val="22"/>
        </w:rPr>
        <w:t>technological integration</w:t>
      </w:r>
      <w:r w:rsidR="00F17E42">
        <w:rPr>
          <w:rFonts w:ascii="Cambria" w:hAnsi="Cambria"/>
          <w:color w:val="000000" w:themeColor="text1"/>
          <w:sz w:val="22"/>
          <w:szCs w:val="22"/>
        </w:rPr>
        <w:t xml:space="preserve">. This integration is using google clasroom platform. </w:t>
      </w:r>
      <w:r w:rsidR="00C97E59">
        <w:rPr>
          <w:rFonts w:ascii="Cambria" w:hAnsi="Cambria"/>
          <w:color w:val="000000" w:themeColor="text1"/>
          <w:sz w:val="22"/>
          <w:szCs w:val="22"/>
        </w:rPr>
        <w:t xml:space="preserve">In regard </w:t>
      </w:r>
      <w:r w:rsidR="00C97E59">
        <w:rPr>
          <w:rFonts w:ascii="Cambria" w:hAnsi="Cambria"/>
          <w:color w:val="000000" w:themeColor="text1"/>
          <w:sz w:val="22"/>
          <w:szCs w:val="22"/>
        </w:rPr>
        <w:t>technological integration</w:t>
      </w:r>
      <w:r w:rsidR="00C97E59">
        <w:rPr>
          <w:rFonts w:ascii="Cambria" w:hAnsi="Cambria"/>
          <w:color w:val="000000" w:themeColor="text1"/>
          <w:sz w:val="22"/>
          <w:szCs w:val="22"/>
        </w:rPr>
        <w:t xml:space="preserve">, the technology can easy to use for students’. </w:t>
      </w:r>
    </w:p>
    <w:p w14:paraId="3DB2376E" w14:textId="2B611C9A" w:rsidR="00755763" w:rsidRDefault="009F1359" w:rsidP="009F1359">
      <w:pPr>
        <w:autoSpaceDE w:val="0"/>
        <w:ind w:firstLine="567"/>
        <w:jc w:val="both"/>
        <w:rPr>
          <w:rFonts w:ascii="Cambria" w:hAnsi="Cambria"/>
          <w:sz w:val="22"/>
          <w:szCs w:val="22"/>
          <w:lang w:val="id-ID"/>
        </w:rPr>
      </w:pPr>
      <w:r w:rsidRPr="009F1359">
        <w:rPr>
          <w:rFonts w:ascii="Cambria" w:hAnsi="Cambria"/>
          <w:sz w:val="22"/>
          <w:szCs w:val="22"/>
          <w:lang w:val="id-ID"/>
        </w:rPr>
        <w:t>In contrast to expository learning, the researcher begins by explaining the learning objectives to be implemented as well as conveying perceptions about the geometry material. The students will then be given the opportunity to comprehend the material in the given book. Furthermore, students will be given problems that can be solved through discussion. The students will then present the outcomes of their discussions.</w:t>
      </w:r>
    </w:p>
    <w:p w14:paraId="4793179C" w14:textId="457FD8AE" w:rsidR="009F1359" w:rsidRDefault="009F1359" w:rsidP="009F1359">
      <w:pPr>
        <w:autoSpaceDE w:val="0"/>
        <w:ind w:firstLine="567"/>
        <w:jc w:val="both"/>
        <w:rPr>
          <w:rFonts w:ascii="Cambria" w:hAnsi="Cambria"/>
          <w:sz w:val="22"/>
          <w:szCs w:val="22"/>
        </w:rPr>
      </w:pPr>
      <w:r w:rsidRPr="009F1359">
        <w:rPr>
          <w:rFonts w:ascii="Cambria" w:hAnsi="Cambria"/>
          <w:sz w:val="22"/>
          <w:szCs w:val="22"/>
          <w:lang w:val="id-ID"/>
        </w:rPr>
        <w:t xml:space="preserve">Expository learning only emphasizes the teacher's role. Because students are only given a few opportunities, they are less active and less motivated to learn. The conclusion demonstrates that there is a distinction between using STEM and expository learning. It is possible to conclude that learning to use STEM is more effective, even if the difference is not significant when compared to traditional methods. The ability to think creatively using STEM is greater than the expository control class. According to relevant research, STEM learning can provide real learning experiences, increase learning effectiveness, and support future careers and professions </w:t>
      </w:r>
      <w:r w:rsidRPr="009F1359">
        <w:rPr>
          <w:rFonts w:ascii="Cambria" w:hAnsi="Cambria"/>
          <w:iCs/>
          <w:color w:val="000000"/>
          <w:sz w:val="22"/>
          <w:szCs w:val="22"/>
        </w:rPr>
        <w:fldChar w:fldCharType="begin"/>
      </w:r>
      <w:r w:rsidR="00746718">
        <w:rPr>
          <w:rFonts w:ascii="Cambria" w:hAnsi="Cambria"/>
          <w:iCs/>
          <w:color w:val="000000"/>
          <w:sz w:val="22"/>
          <w:szCs w:val="22"/>
        </w:rPr>
        <w:instrText xml:space="preserve"> ADDIN ZOTERO_ITEM CSL_CITATION {"citationID":"qv3iQj7V","properties":{"formattedCitation":"(Kelley &amp; Knowles, 2016)","plainCitation":"(Kelley &amp; Knowles, 2016)","noteIndex":0},"citationItems":[{"id":"DvVQWWbP/JolT6yH5","uris":["http://zotero.org/users/local/ndX0FRyc/items/VZVMRQEB"],"uri":["http://zotero.org/users/local/ndX0FRyc/items/VZVMRQEB"],"itemData":{"id":596,"type":"article-journal","container-title":"International Journal of STEM Education","issue":"1","note":"ISBN: 2196-7822\npublisher: SpringerOpen","page":"11","title":"A conceptual framework for integrated STEM education","volume":"3","author":[{"family":"Kelley","given":"Todd R."},{"family":"Knowles","given":"J. Geoff"}],"issued":{"date-parts":[["2016"]]}}}],"schema":"https://github.com/citation-style-language/schema/raw/master/csl-citation.json"} </w:instrText>
      </w:r>
      <w:r w:rsidRPr="009F1359">
        <w:rPr>
          <w:rFonts w:ascii="Cambria" w:hAnsi="Cambria"/>
          <w:iCs/>
          <w:color w:val="000000"/>
          <w:sz w:val="22"/>
          <w:szCs w:val="22"/>
        </w:rPr>
        <w:fldChar w:fldCharType="separate"/>
      </w:r>
      <w:r w:rsidRPr="009F1359">
        <w:rPr>
          <w:rFonts w:ascii="Cambria" w:hAnsi="Cambria"/>
          <w:sz w:val="22"/>
          <w:szCs w:val="22"/>
        </w:rPr>
        <w:t>(Kelley &amp; Knowles, 2016)</w:t>
      </w:r>
      <w:r w:rsidRPr="009F1359">
        <w:rPr>
          <w:rFonts w:ascii="Cambria" w:hAnsi="Cambria"/>
          <w:iCs/>
          <w:color w:val="000000"/>
          <w:sz w:val="22"/>
          <w:szCs w:val="22"/>
        </w:rPr>
        <w:fldChar w:fldCharType="end"/>
      </w:r>
      <w:r w:rsidRPr="009F1359">
        <w:rPr>
          <w:rFonts w:ascii="Cambria" w:hAnsi="Cambria"/>
          <w:iCs/>
          <w:color w:val="000000"/>
          <w:sz w:val="22"/>
          <w:szCs w:val="22"/>
        </w:rPr>
        <w:t xml:space="preserve">. </w:t>
      </w:r>
      <w:r w:rsidRPr="009F1359">
        <w:rPr>
          <w:rFonts w:ascii="Cambria" w:hAnsi="Cambria"/>
          <w:sz w:val="22"/>
          <w:szCs w:val="22"/>
          <w:lang w:val="id-ID"/>
        </w:rPr>
        <w:t>As a result, students can benefit from STEM education.</w:t>
      </w:r>
      <w:r w:rsidR="00BD7FD8">
        <w:rPr>
          <w:rFonts w:ascii="Cambria" w:hAnsi="Cambria"/>
          <w:sz w:val="22"/>
          <w:szCs w:val="22"/>
        </w:rPr>
        <w:t xml:space="preserve"> </w:t>
      </w:r>
      <w:r w:rsidR="00BD7FD8" w:rsidRPr="00BD7FD8">
        <w:rPr>
          <w:rFonts w:ascii="Cambria" w:hAnsi="Cambria"/>
          <w:sz w:val="22"/>
          <w:szCs w:val="22"/>
        </w:rPr>
        <w:t>So, by utilizing STEM learning, students not only learn the material but also practice, thereby making learning easier and more enjoyable.</w:t>
      </w:r>
    </w:p>
    <w:p w14:paraId="3FB66983" w14:textId="4BCF127E" w:rsidR="004D3C04" w:rsidRDefault="004D3C04" w:rsidP="009F1359">
      <w:pPr>
        <w:autoSpaceDE w:val="0"/>
        <w:ind w:firstLine="567"/>
        <w:jc w:val="both"/>
        <w:rPr>
          <w:rFonts w:ascii="Cambria" w:hAnsi="Cambria"/>
          <w:sz w:val="22"/>
          <w:szCs w:val="22"/>
        </w:rPr>
      </w:pPr>
      <w:r w:rsidRPr="004D3C04">
        <w:rPr>
          <w:rFonts w:ascii="Cambria" w:hAnsi="Cambria"/>
          <w:sz w:val="22"/>
          <w:szCs w:val="22"/>
        </w:rPr>
        <w:t>According to the table</w:t>
      </w:r>
      <w:r w:rsidR="00F40BD9">
        <w:rPr>
          <w:rFonts w:ascii="Cambria" w:hAnsi="Cambria"/>
          <w:sz w:val="22"/>
          <w:szCs w:val="22"/>
        </w:rPr>
        <w:t xml:space="preserve"> 3</w:t>
      </w:r>
      <w:r w:rsidRPr="004D3C04">
        <w:rPr>
          <w:rFonts w:ascii="Cambria" w:hAnsi="Cambria"/>
          <w:sz w:val="22"/>
          <w:szCs w:val="22"/>
        </w:rPr>
        <w:t xml:space="preserve">, </w:t>
      </w:r>
      <w:r w:rsidR="00F40BD9">
        <w:rPr>
          <w:rFonts w:ascii="Cambria" w:hAnsi="Cambria"/>
          <w:sz w:val="22"/>
          <w:szCs w:val="22"/>
        </w:rPr>
        <w:t>male</w:t>
      </w:r>
      <w:r w:rsidRPr="004D3C04">
        <w:rPr>
          <w:rFonts w:ascii="Cambria" w:hAnsi="Cambria"/>
          <w:sz w:val="22"/>
          <w:szCs w:val="22"/>
        </w:rPr>
        <w:t xml:space="preserve"> have an average level of mathematical critical thinking skills of 57.04 and </w:t>
      </w:r>
      <w:r w:rsidR="00F40BD9">
        <w:rPr>
          <w:rFonts w:ascii="Cambria" w:hAnsi="Cambria"/>
          <w:sz w:val="22"/>
          <w:szCs w:val="22"/>
        </w:rPr>
        <w:t xml:space="preserve">female </w:t>
      </w:r>
      <w:r w:rsidRPr="004D3C04">
        <w:rPr>
          <w:rFonts w:ascii="Cambria" w:hAnsi="Cambria"/>
          <w:sz w:val="22"/>
          <w:szCs w:val="22"/>
        </w:rPr>
        <w:t>have an average level of 63.21. As a result, female students comprehend the concept better than male students. This demonstrates that the gender difference in mathematical critical thinking skills between the female and male groups is distinct.</w:t>
      </w:r>
    </w:p>
    <w:p w14:paraId="0F255FE6" w14:textId="2D5F4CD6" w:rsidR="00A43F7F" w:rsidRDefault="00A43F7F" w:rsidP="00A43F7F">
      <w:pPr>
        <w:autoSpaceDE w:val="0"/>
        <w:ind w:firstLine="567"/>
        <w:jc w:val="both"/>
        <w:rPr>
          <w:rFonts w:ascii="Cambria" w:hAnsi="Cambria"/>
          <w:iCs/>
          <w:color w:val="000000"/>
          <w:sz w:val="22"/>
          <w:szCs w:val="22"/>
        </w:rPr>
      </w:pPr>
      <w:r w:rsidRPr="00A43F7F">
        <w:rPr>
          <w:rFonts w:ascii="Cambria" w:hAnsi="Cambria"/>
          <w:sz w:val="22"/>
          <w:szCs w:val="22"/>
        </w:rPr>
        <w:t>Gender differences in understanding of concepts by students are supported by relevant research</w:t>
      </w:r>
      <w:r>
        <w:rPr>
          <w:rFonts w:ascii="Cambria" w:hAnsi="Cambria"/>
          <w:sz w:val="22"/>
          <w:szCs w:val="22"/>
        </w:rPr>
        <w:t xml:space="preserve"> </w:t>
      </w:r>
      <w:r w:rsidRPr="00A43F7F">
        <w:rPr>
          <w:rFonts w:ascii="Cambria" w:hAnsi="Cambria"/>
          <w:iCs/>
          <w:color w:val="000000"/>
          <w:sz w:val="22"/>
          <w:szCs w:val="22"/>
        </w:rPr>
        <w:fldChar w:fldCharType="begin"/>
      </w:r>
      <w:r w:rsidR="001A0CE5">
        <w:rPr>
          <w:rFonts w:ascii="Cambria" w:hAnsi="Cambria"/>
          <w:iCs/>
          <w:color w:val="000000"/>
          <w:sz w:val="22"/>
          <w:szCs w:val="22"/>
        </w:rPr>
        <w:instrText xml:space="preserve"> ADDIN ZOTERO_ITEM CSL_CITATION {"citationID":"txlrA2Ip","properties":{"formattedCitation":"(Salavera et al., 2017)","plainCitation":"(Salavera et al., 2017)","noteIndex":0},"citationItems":[{"id":1442,"uris":["http://zotero.org/users/4795968/items/QFPXG8XR"],"uri":["http://zotero.org/users/4795968/items/QFPXG8XR"],"itemData":{"id":1442,"type":"article-journal","container-title":"Journal of adolescence","note":"ISBN: 0140-1971\npublisher: Elsevier","page":"39-46","title":"Emotional intelligence and social skills on self-efficacy in secondary education students. Are there gender differences?","volume":"60","author":[{"family":"Salavera","given":"Carlos"},{"family":"Usan","given":"Pablo"},{"family":"Jarie","given":"Laurane"}],"issued":{"date-parts":[["2017"]]}}}],"schema":"https://github.com/citation-style-language/schema/raw/master/csl-citation.json"} </w:instrText>
      </w:r>
      <w:r w:rsidRPr="00A43F7F">
        <w:rPr>
          <w:rFonts w:ascii="Cambria" w:hAnsi="Cambria"/>
          <w:iCs/>
          <w:color w:val="000000"/>
          <w:sz w:val="22"/>
          <w:szCs w:val="22"/>
        </w:rPr>
        <w:fldChar w:fldCharType="separate"/>
      </w:r>
      <w:r w:rsidR="001A0CE5" w:rsidRPr="001A0CE5">
        <w:rPr>
          <w:rFonts w:ascii="Cambria" w:hAnsi="Cambria"/>
          <w:sz w:val="22"/>
        </w:rPr>
        <w:t>(Salavera et al., 2017)</w:t>
      </w:r>
      <w:r w:rsidRPr="00A43F7F">
        <w:rPr>
          <w:rFonts w:ascii="Cambria" w:hAnsi="Cambria"/>
          <w:iCs/>
          <w:color w:val="000000"/>
          <w:sz w:val="22"/>
          <w:szCs w:val="22"/>
        </w:rPr>
        <w:fldChar w:fldCharType="end"/>
      </w:r>
      <w:r w:rsidRPr="00A43F7F">
        <w:rPr>
          <w:rFonts w:ascii="Cambria" w:hAnsi="Cambria"/>
          <w:iCs/>
          <w:color w:val="000000" w:themeColor="text1"/>
          <w:sz w:val="22"/>
          <w:szCs w:val="22"/>
        </w:rPr>
        <w:t>.</w:t>
      </w:r>
      <w:r w:rsidRPr="00A43F7F">
        <w:rPr>
          <w:rFonts w:ascii="Cambria" w:hAnsi="Cambria"/>
          <w:sz w:val="22"/>
          <w:szCs w:val="22"/>
        </w:rPr>
        <w:t xml:space="preserve"> As a result, rather than expository learning, the STEM used has creative steps and values that will make students enthusiastic about learning and motivated. Gender differences in learning outcomes result from a more diligent learning style for female students than male students. As a result, learning outcomes differ between men and women. As a result, female students outperform male students when it comes to learning Mathematics </w:t>
      </w:r>
      <w:r w:rsidRPr="00A43F7F">
        <w:rPr>
          <w:rFonts w:ascii="Cambria" w:hAnsi="Cambria"/>
          <w:iCs/>
          <w:color w:val="000000"/>
          <w:sz w:val="22"/>
          <w:szCs w:val="22"/>
        </w:rPr>
        <w:fldChar w:fldCharType="begin"/>
      </w:r>
      <w:r w:rsidR="00746718">
        <w:rPr>
          <w:rFonts w:ascii="Cambria" w:hAnsi="Cambria"/>
          <w:iCs/>
          <w:color w:val="000000"/>
          <w:sz w:val="22"/>
          <w:szCs w:val="22"/>
        </w:rPr>
        <w:instrText xml:space="preserve"> ADDIN ZOTERO_ITEM CSL_CITATION {"citationID":"yMJxFOQ9","properties":{"formattedCitation":"(Meifiani &amp; Prasetyo, 2015)","plainCitation":"(Meifiani &amp; Prasetyo, 2015)","noteIndex":0},"citationItems":[{"id":"DvVQWWbP/JGmkDrzp","uris":["http://zotero.org/users/local/ndX0FRyc/items/PAKQEPKR"],"uri":["http://zotero.org/users/local/ndX0FRyc/items/PAKQEPKR"],"itemData":{"id":609,"type":"article-journal","container-title":"Jurnal Derivat: Jurnal Matematika dan Pendidikan Matematika","issue":"1","note":"ISBN: 2549-2616","page":"1-10","title":"Pengaruh Motivasi Terhadap Prestasi Ditinjau Dari Perbedaan Jenis Kelamin Mahasiswa STKIP PGRI Pacitan","volume":"2","author":[{"family":"Meifiani","given":"Nely Indra"},{"family":"Prasetyo","given":"Tika Dedy"}],"issued":{"date-parts":[["2015"]]}}}],"schema":"https://github.com/citation-style-language/schema/raw/master/csl-citation.json"} </w:instrText>
      </w:r>
      <w:r w:rsidRPr="00A43F7F">
        <w:rPr>
          <w:rFonts w:ascii="Cambria" w:hAnsi="Cambria"/>
          <w:iCs/>
          <w:color w:val="000000"/>
          <w:sz w:val="22"/>
          <w:szCs w:val="22"/>
        </w:rPr>
        <w:fldChar w:fldCharType="separate"/>
      </w:r>
      <w:r w:rsidRPr="00A43F7F">
        <w:rPr>
          <w:rFonts w:ascii="Cambria" w:hAnsi="Cambria"/>
          <w:sz w:val="22"/>
          <w:szCs w:val="22"/>
        </w:rPr>
        <w:t>(Meifiani &amp; Prasetyo, 2015)</w:t>
      </w:r>
      <w:r w:rsidRPr="00A43F7F">
        <w:rPr>
          <w:rFonts w:ascii="Cambria" w:hAnsi="Cambria"/>
          <w:iCs/>
          <w:color w:val="000000"/>
          <w:sz w:val="22"/>
          <w:szCs w:val="22"/>
        </w:rPr>
        <w:fldChar w:fldCharType="end"/>
      </w:r>
      <w:r w:rsidRPr="00A43F7F">
        <w:rPr>
          <w:rFonts w:ascii="Cambria" w:hAnsi="Cambria"/>
          <w:iCs/>
          <w:color w:val="000000"/>
          <w:sz w:val="22"/>
          <w:szCs w:val="22"/>
        </w:rPr>
        <w:t>.</w:t>
      </w:r>
      <w:r w:rsidR="007D3B16">
        <w:rPr>
          <w:rFonts w:ascii="Cambria" w:hAnsi="Cambria"/>
          <w:iCs/>
          <w:color w:val="000000"/>
          <w:sz w:val="22"/>
          <w:szCs w:val="22"/>
        </w:rPr>
        <w:t xml:space="preserve"> </w:t>
      </w:r>
      <w:r w:rsidR="007D3B16" w:rsidRPr="007D3B16">
        <w:rPr>
          <w:rFonts w:ascii="Cambria" w:hAnsi="Cambria"/>
          <w:iCs/>
          <w:color w:val="000000"/>
          <w:sz w:val="22"/>
          <w:szCs w:val="22"/>
        </w:rPr>
        <w:t>On mathematical critical thinking skills, there is no interaction between learning and gender. As a result, STEM and traditional learning that uses scientific learning have a relatively good value for understanding concepts seen from the perspective of gender.</w:t>
      </w:r>
    </w:p>
    <w:p w14:paraId="0BC2E318" w14:textId="77777777" w:rsidR="00027FCA" w:rsidRDefault="00027FCA" w:rsidP="00A43F7F">
      <w:pPr>
        <w:autoSpaceDE w:val="0"/>
        <w:ind w:firstLine="567"/>
        <w:jc w:val="both"/>
        <w:rPr>
          <w:rFonts w:ascii="Cambria" w:hAnsi="Cambria"/>
          <w:iCs/>
          <w:color w:val="000000"/>
          <w:sz w:val="22"/>
          <w:szCs w:val="22"/>
        </w:rPr>
      </w:pPr>
    </w:p>
    <w:p w14:paraId="674B0E6E" w14:textId="2C164603" w:rsidR="00027FCA" w:rsidRDefault="00027FCA" w:rsidP="00A43F7F">
      <w:pPr>
        <w:autoSpaceDE w:val="0"/>
        <w:ind w:firstLine="567"/>
        <w:jc w:val="both"/>
        <w:rPr>
          <w:rFonts w:ascii="Cambria" w:hAnsi="Cambria"/>
          <w:iCs/>
          <w:color w:val="000000"/>
          <w:sz w:val="22"/>
          <w:szCs w:val="22"/>
        </w:rPr>
      </w:pPr>
      <w:r w:rsidRPr="00192278">
        <w:rPr>
          <w:noProof/>
          <w:color w:val="000000" w:themeColor="text1"/>
          <w:lang w:eastAsia="en-US"/>
        </w:rPr>
        <w:drawing>
          <wp:inline distT="0" distB="0" distL="0" distR="0" wp14:anchorId="6D88A1D3" wp14:editId="08B0BB4B">
            <wp:extent cx="5076825" cy="21240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22F350" w14:textId="3EB15F3F" w:rsidR="00027FCA" w:rsidRDefault="00027FCA" w:rsidP="00A43F7F">
      <w:pPr>
        <w:autoSpaceDE w:val="0"/>
        <w:ind w:firstLine="567"/>
        <w:jc w:val="both"/>
        <w:rPr>
          <w:rFonts w:ascii="Cambria" w:hAnsi="Cambria"/>
          <w:iCs/>
          <w:color w:val="000000"/>
          <w:sz w:val="22"/>
          <w:szCs w:val="22"/>
        </w:rPr>
      </w:pPr>
    </w:p>
    <w:p w14:paraId="4F4DD98C" w14:textId="755C3F3F" w:rsidR="00027FCA" w:rsidRPr="002D1225" w:rsidRDefault="00027FCA" w:rsidP="00940854">
      <w:pPr>
        <w:spacing w:line="276" w:lineRule="auto"/>
        <w:jc w:val="center"/>
        <w:rPr>
          <w:rFonts w:ascii="Garamond" w:hAnsi="Garamond"/>
          <w:b/>
          <w:iCs/>
          <w:color w:val="000000" w:themeColor="text1"/>
        </w:rPr>
      </w:pPr>
      <w:r>
        <w:rPr>
          <w:rFonts w:ascii="Garamond" w:hAnsi="Garamond"/>
          <w:b/>
          <w:iCs/>
          <w:color w:val="000000" w:themeColor="text1"/>
        </w:rPr>
        <w:t>Figure 4</w:t>
      </w:r>
      <w:r w:rsidRPr="002D1225">
        <w:rPr>
          <w:rFonts w:ascii="Garamond" w:hAnsi="Garamond"/>
          <w:b/>
          <w:iCs/>
          <w:color w:val="000000" w:themeColor="text1"/>
        </w:rPr>
        <w:t xml:space="preserve">. </w:t>
      </w:r>
      <w:r>
        <w:rPr>
          <w:rFonts w:ascii="Garamond" w:hAnsi="Garamond"/>
          <w:iCs/>
          <w:color w:val="000000" w:themeColor="text1"/>
        </w:rPr>
        <w:t>Mathematical critical thinking report</w:t>
      </w:r>
    </w:p>
    <w:p w14:paraId="2EC3575D" w14:textId="77777777" w:rsidR="00027FCA" w:rsidRPr="00BD7FD8" w:rsidRDefault="00027FCA" w:rsidP="00027FCA">
      <w:pPr>
        <w:autoSpaceDE w:val="0"/>
        <w:jc w:val="both"/>
        <w:rPr>
          <w:rFonts w:ascii="Cambria" w:hAnsi="Cambria"/>
          <w:sz w:val="22"/>
          <w:szCs w:val="22"/>
        </w:rPr>
      </w:pPr>
    </w:p>
    <w:p w14:paraId="1B276DE4" w14:textId="56276D20" w:rsidR="00755763" w:rsidRDefault="00027FCA" w:rsidP="00C36DEE">
      <w:pPr>
        <w:autoSpaceDE w:val="0"/>
        <w:ind w:firstLine="720"/>
        <w:jc w:val="both"/>
        <w:rPr>
          <w:rFonts w:ascii="Cambria" w:hAnsi="Cambria"/>
          <w:sz w:val="22"/>
          <w:szCs w:val="22"/>
          <w:lang w:val="id-ID"/>
        </w:rPr>
      </w:pPr>
      <w:r w:rsidRPr="00027FCA">
        <w:rPr>
          <w:rFonts w:ascii="Cambria" w:hAnsi="Cambria"/>
          <w:sz w:val="22"/>
          <w:szCs w:val="22"/>
          <w:lang w:val="id-ID"/>
        </w:rPr>
        <w:t>This is evident from the graph, which depicts values with insignificant differences. As a result, expository learning has no effect on the ability to t</w:t>
      </w:r>
      <w:r>
        <w:rPr>
          <w:rFonts w:ascii="Cambria" w:hAnsi="Cambria"/>
          <w:sz w:val="22"/>
          <w:szCs w:val="22"/>
          <w:lang w:val="id-ID"/>
        </w:rPr>
        <w:t>hink critically mathematically.</w:t>
      </w:r>
      <w:r>
        <w:rPr>
          <w:rFonts w:ascii="Cambria" w:hAnsi="Cambria"/>
          <w:sz w:val="22"/>
          <w:szCs w:val="22"/>
        </w:rPr>
        <w:t xml:space="preserve"> </w:t>
      </w:r>
      <w:r w:rsidRPr="00027FCA">
        <w:rPr>
          <w:rFonts w:ascii="Cambria" w:hAnsi="Cambria"/>
          <w:sz w:val="22"/>
          <w:szCs w:val="22"/>
          <w:lang w:val="id-ID"/>
        </w:rPr>
        <w:t xml:space="preserve">This research is similar to gender research, which concludes that there is no significant difference </w:t>
      </w:r>
      <w:r w:rsidRPr="00027FCA">
        <w:rPr>
          <w:rFonts w:ascii="Cambria" w:hAnsi="Cambria"/>
          <w:sz w:val="22"/>
          <w:szCs w:val="22"/>
          <w:lang w:val="id-ID"/>
        </w:rPr>
        <w:lastRenderedPageBreak/>
        <w:t>between cooperative learning and gender (Hodiyanto, 2017). Learning that provides meaning or student centering is a learning process that can provide meaning and have a positive influence on mathematical critical thinking skills. As a result, it will have an impact on gender differences in STEM learning, making students more critical, active, and creative when compared to expository learning.</w:t>
      </w:r>
    </w:p>
    <w:p w14:paraId="6D9CFBC0" w14:textId="55ACBCB5" w:rsidR="00027FCA" w:rsidRDefault="00C36DEE" w:rsidP="00C36DEE">
      <w:pPr>
        <w:autoSpaceDE w:val="0"/>
        <w:ind w:firstLine="720"/>
        <w:jc w:val="both"/>
        <w:rPr>
          <w:rFonts w:ascii="Cambria" w:hAnsi="Cambria"/>
          <w:sz w:val="22"/>
          <w:szCs w:val="22"/>
          <w:lang w:val="id-ID"/>
        </w:rPr>
      </w:pPr>
      <w:r w:rsidRPr="00C36DEE">
        <w:rPr>
          <w:rFonts w:ascii="Cambria" w:hAnsi="Cambria"/>
          <w:sz w:val="22"/>
          <w:szCs w:val="22"/>
          <w:lang w:val="id-ID"/>
        </w:rPr>
        <w:t>However, it was discovered in this study that there was a relationship between the type of learning used (STEM) and gender on mathematical critical thinking skills. Another possible factor is the failure to implement research findings during learning as a result of a lack of seriousness in the classroom learning process, as well as control over students.</w:t>
      </w:r>
    </w:p>
    <w:p w14:paraId="5ED05DB8" w14:textId="124A92BE" w:rsidR="0032104D" w:rsidRDefault="0032104D" w:rsidP="00C36DEE">
      <w:pPr>
        <w:autoSpaceDE w:val="0"/>
        <w:ind w:firstLine="720"/>
        <w:jc w:val="both"/>
        <w:rPr>
          <w:rFonts w:ascii="Cambria" w:hAnsi="Cambria"/>
          <w:sz w:val="22"/>
          <w:szCs w:val="22"/>
          <w:lang w:val="id-ID"/>
        </w:rPr>
      </w:pPr>
      <w:r w:rsidRPr="0032104D">
        <w:rPr>
          <w:rFonts w:ascii="Cambria" w:hAnsi="Cambria"/>
          <w:sz w:val="22"/>
          <w:szCs w:val="22"/>
          <w:lang w:val="id-ID"/>
        </w:rPr>
        <w:t>TPACK (Technological Pedagogical Content Knowledge) Framework was used to better understand the interrelationships between science, technology, and pedagogy. This framework was developed by Punya Mishra and Matthew J. Koehler, both of whom worked at the State University of Michigan in the United StatesStates and published their findings (Koehler &amp; Mishra, 2009; Mishra &amp; Koehler, 2006).</w:t>
      </w:r>
    </w:p>
    <w:p w14:paraId="17685300" w14:textId="2B135FEF" w:rsidR="0032104D" w:rsidRDefault="0032104D" w:rsidP="00C36DEE">
      <w:pPr>
        <w:autoSpaceDE w:val="0"/>
        <w:ind w:firstLine="720"/>
        <w:jc w:val="both"/>
        <w:rPr>
          <w:rFonts w:ascii="Cambria" w:hAnsi="Cambria"/>
          <w:sz w:val="22"/>
          <w:szCs w:val="22"/>
          <w:lang w:val="id-ID"/>
        </w:rPr>
      </w:pPr>
      <w:r>
        <w:rPr>
          <w:rFonts w:ascii="Cambria" w:hAnsi="Cambria"/>
          <w:noProof/>
          <w:sz w:val="22"/>
          <w:szCs w:val="22"/>
          <w:lang w:eastAsia="en-US"/>
        </w:rPr>
        <w:drawing>
          <wp:anchor distT="0" distB="0" distL="114300" distR="114300" simplePos="0" relativeHeight="251657216" behindDoc="1" locked="0" layoutInCell="1" allowOverlap="1" wp14:anchorId="37B83A62" wp14:editId="36DCE04C">
            <wp:simplePos x="0" y="0"/>
            <wp:positionH relativeFrom="column">
              <wp:posOffset>1212850</wp:posOffset>
            </wp:positionH>
            <wp:positionV relativeFrom="paragraph">
              <wp:posOffset>5715</wp:posOffset>
            </wp:positionV>
            <wp:extent cx="3101340" cy="2694940"/>
            <wp:effectExtent l="0" t="0" r="3810" b="0"/>
            <wp:wrapTight wrapText="bothSides">
              <wp:wrapPolygon edited="0">
                <wp:start x="0" y="0"/>
                <wp:lineTo x="0" y="21376"/>
                <wp:lineTo x="21494" y="21376"/>
                <wp:lineTo x="214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1340" cy="2694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E29EC" w14:textId="5CADDE98" w:rsidR="0032104D" w:rsidRDefault="0032104D" w:rsidP="00C36DEE">
      <w:pPr>
        <w:autoSpaceDE w:val="0"/>
        <w:ind w:firstLine="720"/>
        <w:jc w:val="both"/>
        <w:rPr>
          <w:rFonts w:ascii="Cambria" w:hAnsi="Cambria"/>
          <w:sz w:val="22"/>
          <w:szCs w:val="22"/>
          <w:lang w:val="id-ID"/>
        </w:rPr>
      </w:pPr>
    </w:p>
    <w:p w14:paraId="3C01D8A5" w14:textId="5352D071" w:rsidR="0032104D" w:rsidRDefault="0032104D" w:rsidP="00C36DEE">
      <w:pPr>
        <w:autoSpaceDE w:val="0"/>
        <w:ind w:firstLine="720"/>
        <w:jc w:val="both"/>
        <w:rPr>
          <w:rFonts w:ascii="Cambria" w:hAnsi="Cambria"/>
          <w:sz w:val="22"/>
          <w:szCs w:val="22"/>
          <w:lang w:val="id-ID"/>
        </w:rPr>
      </w:pPr>
    </w:p>
    <w:p w14:paraId="1B3AA588" w14:textId="2FC89664" w:rsidR="0032104D" w:rsidRDefault="0032104D" w:rsidP="00C36DEE">
      <w:pPr>
        <w:autoSpaceDE w:val="0"/>
        <w:ind w:firstLine="720"/>
        <w:jc w:val="both"/>
        <w:rPr>
          <w:rFonts w:ascii="Cambria" w:hAnsi="Cambria"/>
          <w:sz w:val="22"/>
          <w:szCs w:val="22"/>
          <w:lang w:val="id-ID"/>
        </w:rPr>
      </w:pPr>
    </w:p>
    <w:p w14:paraId="5867360C" w14:textId="40BFEF2F" w:rsidR="0032104D" w:rsidRDefault="0032104D" w:rsidP="00C36DEE">
      <w:pPr>
        <w:autoSpaceDE w:val="0"/>
        <w:ind w:firstLine="720"/>
        <w:jc w:val="both"/>
        <w:rPr>
          <w:rFonts w:ascii="Cambria" w:hAnsi="Cambria"/>
          <w:sz w:val="22"/>
          <w:szCs w:val="22"/>
          <w:lang w:val="id-ID"/>
        </w:rPr>
      </w:pPr>
    </w:p>
    <w:p w14:paraId="1EA9B954" w14:textId="7257D084" w:rsidR="0032104D" w:rsidRDefault="0032104D" w:rsidP="00C36DEE">
      <w:pPr>
        <w:autoSpaceDE w:val="0"/>
        <w:ind w:firstLine="720"/>
        <w:jc w:val="both"/>
        <w:rPr>
          <w:rFonts w:ascii="Cambria" w:hAnsi="Cambria"/>
          <w:sz w:val="22"/>
          <w:szCs w:val="22"/>
          <w:lang w:val="id-ID"/>
        </w:rPr>
      </w:pPr>
    </w:p>
    <w:p w14:paraId="2DE759E1" w14:textId="29F13CD4" w:rsidR="0032104D" w:rsidRDefault="0032104D" w:rsidP="00C36DEE">
      <w:pPr>
        <w:autoSpaceDE w:val="0"/>
        <w:ind w:firstLine="720"/>
        <w:jc w:val="both"/>
        <w:rPr>
          <w:rFonts w:ascii="Cambria" w:hAnsi="Cambria"/>
          <w:sz w:val="22"/>
          <w:szCs w:val="22"/>
          <w:lang w:val="id-ID"/>
        </w:rPr>
      </w:pPr>
    </w:p>
    <w:p w14:paraId="26B75940" w14:textId="32B0CA3B" w:rsidR="0032104D" w:rsidRDefault="0032104D" w:rsidP="00C36DEE">
      <w:pPr>
        <w:autoSpaceDE w:val="0"/>
        <w:ind w:firstLine="720"/>
        <w:jc w:val="both"/>
        <w:rPr>
          <w:rFonts w:ascii="Cambria" w:hAnsi="Cambria"/>
          <w:sz w:val="22"/>
          <w:szCs w:val="22"/>
          <w:lang w:val="id-ID"/>
        </w:rPr>
      </w:pPr>
    </w:p>
    <w:p w14:paraId="434AF4DA" w14:textId="07CAFC71" w:rsidR="0032104D" w:rsidRDefault="0032104D" w:rsidP="00C36DEE">
      <w:pPr>
        <w:autoSpaceDE w:val="0"/>
        <w:ind w:firstLine="720"/>
        <w:jc w:val="both"/>
        <w:rPr>
          <w:rFonts w:ascii="Cambria" w:hAnsi="Cambria"/>
          <w:sz w:val="22"/>
          <w:szCs w:val="22"/>
          <w:lang w:val="id-ID"/>
        </w:rPr>
      </w:pPr>
    </w:p>
    <w:p w14:paraId="11431DD2" w14:textId="76A1BF04" w:rsidR="0032104D" w:rsidRDefault="0032104D" w:rsidP="00C36DEE">
      <w:pPr>
        <w:autoSpaceDE w:val="0"/>
        <w:ind w:firstLine="720"/>
        <w:jc w:val="both"/>
        <w:rPr>
          <w:rFonts w:ascii="Cambria" w:hAnsi="Cambria"/>
          <w:sz w:val="22"/>
          <w:szCs w:val="22"/>
          <w:lang w:val="id-ID"/>
        </w:rPr>
      </w:pPr>
    </w:p>
    <w:p w14:paraId="362A00A1" w14:textId="7FA705A0" w:rsidR="0032104D" w:rsidRDefault="0032104D" w:rsidP="00C36DEE">
      <w:pPr>
        <w:autoSpaceDE w:val="0"/>
        <w:ind w:firstLine="720"/>
        <w:jc w:val="both"/>
        <w:rPr>
          <w:rFonts w:ascii="Cambria" w:hAnsi="Cambria"/>
          <w:sz w:val="22"/>
          <w:szCs w:val="22"/>
          <w:lang w:val="id-ID"/>
        </w:rPr>
      </w:pPr>
    </w:p>
    <w:p w14:paraId="458FC27C" w14:textId="782B4634" w:rsidR="0032104D" w:rsidRDefault="0032104D" w:rsidP="00C36DEE">
      <w:pPr>
        <w:autoSpaceDE w:val="0"/>
        <w:ind w:firstLine="720"/>
        <w:jc w:val="both"/>
        <w:rPr>
          <w:rFonts w:ascii="Cambria" w:hAnsi="Cambria"/>
          <w:sz w:val="22"/>
          <w:szCs w:val="22"/>
          <w:lang w:val="id-ID"/>
        </w:rPr>
      </w:pPr>
    </w:p>
    <w:p w14:paraId="2F3124F0" w14:textId="4AE2A64E" w:rsidR="0032104D" w:rsidRDefault="0032104D" w:rsidP="00C36DEE">
      <w:pPr>
        <w:autoSpaceDE w:val="0"/>
        <w:ind w:firstLine="720"/>
        <w:jc w:val="both"/>
        <w:rPr>
          <w:rFonts w:ascii="Cambria" w:hAnsi="Cambria"/>
          <w:sz w:val="22"/>
          <w:szCs w:val="22"/>
          <w:lang w:val="id-ID"/>
        </w:rPr>
      </w:pPr>
    </w:p>
    <w:p w14:paraId="7412E582" w14:textId="67956092" w:rsidR="0032104D" w:rsidRDefault="0032104D" w:rsidP="00C36DEE">
      <w:pPr>
        <w:autoSpaceDE w:val="0"/>
        <w:ind w:firstLine="720"/>
        <w:jc w:val="both"/>
        <w:rPr>
          <w:rFonts w:ascii="Cambria" w:hAnsi="Cambria"/>
          <w:sz w:val="22"/>
          <w:szCs w:val="22"/>
          <w:lang w:val="id-ID"/>
        </w:rPr>
      </w:pPr>
    </w:p>
    <w:p w14:paraId="68A6A61D" w14:textId="0DE8C5BF" w:rsidR="0032104D" w:rsidRDefault="0032104D" w:rsidP="00C36DEE">
      <w:pPr>
        <w:autoSpaceDE w:val="0"/>
        <w:ind w:firstLine="720"/>
        <w:jc w:val="both"/>
        <w:rPr>
          <w:rFonts w:ascii="Cambria" w:hAnsi="Cambria"/>
          <w:sz w:val="22"/>
          <w:szCs w:val="22"/>
          <w:lang w:val="id-ID"/>
        </w:rPr>
      </w:pPr>
    </w:p>
    <w:p w14:paraId="35F6DB3F" w14:textId="75E34F98" w:rsidR="0032104D" w:rsidRDefault="0032104D" w:rsidP="00C36DEE">
      <w:pPr>
        <w:autoSpaceDE w:val="0"/>
        <w:ind w:firstLine="720"/>
        <w:jc w:val="both"/>
        <w:rPr>
          <w:rFonts w:ascii="Cambria" w:hAnsi="Cambria"/>
          <w:sz w:val="22"/>
          <w:szCs w:val="22"/>
          <w:lang w:val="id-ID"/>
        </w:rPr>
      </w:pPr>
    </w:p>
    <w:p w14:paraId="2C7181B1" w14:textId="77777777" w:rsidR="0032104D" w:rsidRDefault="0032104D" w:rsidP="00C36DEE">
      <w:pPr>
        <w:autoSpaceDE w:val="0"/>
        <w:ind w:firstLine="720"/>
        <w:jc w:val="both"/>
        <w:rPr>
          <w:rFonts w:ascii="Cambria" w:hAnsi="Cambria"/>
          <w:sz w:val="22"/>
          <w:szCs w:val="22"/>
          <w:lang w:val="id-ID"/>
        </w:rPr>
      </w:pPr>
    </w:p>
    <w:p w14:paraId="180BEED0" w14:textId="5C8B9309" w:rsidR="0032104D" w:rsidRDefault="0032104D" w:rsidP="0032104D">
      <w:pPr>
        <w:autoSpaceDE w:val="0"/>
        <w:jc w:val="center"/>
        <w:rPr>
          <w:rFonts w:ascii="Garamond" w:hAnsi="Garamond"/>
          <w:b/>
          <w:iCs/>
          <w:color w:val="000000" w:themeColor="text1"/>
        </w:rPr>
      </w:pPr>
      <w:r>
        <w:rPr>
          <w:rFonts w:ascii="Garamond" w:hAnsi="Garamond"/>
          <w:b/>
          <w:iCs/>
          <w:color w:val="000000" w:themeColor="text1"/>
        </w:rPr>
        <w:t>Figure 5</w:t>
      </w:r>
      <w:r w:rsidRPr="002D1225">
        <w:rPr>
          <w:rFonts w:ascii="Garamond" w:hAnsi="Garamond"/>
          <w:b/>
          <w:iCs/>
          <w:color w:val="000000" w:themeColor="text1"/>
        </w:rPr>
        <w:t xml:space="preserve">. </w:t>
      </w:r>
      <w:r w:rsidRPr="0032104D">
        <w:rPr>
          <w:rFonts w:ascii="Garamond" w:hAnsi="Garamond"/>
          <w:iCs/>
          <w:color w:val="000000" w:themeColor="text1"/>
        </w:rPr>
        <w:t>TPACK model</w:t>
      </w:r>
      <w:r>
        <w:rPr>
          <w:rFonts w:ascii="Garamond" w:hAnsi="Garamond"/>
          <w:b/>
          <w:iCs/>
          <w:color w:val="000000" w:themeColor="text1"/>
        </w:rPr>
        <w:t xml:space="preserve"> </w:t>
      </w:r>
      <w:r>
        <w:rPr>
          <w:rFonts w:ascii="Garamond" w:hAnsi="Garamond"/>
          <w:b/>
          <w:iCs/>
          <w:color w:val="000000" w:themeColor="text1"/>
        </w:rPr>
        <w:fldChar w:fldCharType="begin"/>
      </w:r>
      <w:r>
        <w:rPr>
          <w:rFonts w:ascii="Garamond" w:hAnsi="Garamond"/>
          <w:b/>
          <w:iCs/>
          <w:color w:val="000000" w:themeColor="text1"/>
        </w:rPr>
        <w:instrText xml:space="preserve"> ADDIN ZOTERO_ITEM CSL_CITATION {"citationID":"Uei2orWB","properties":{"formattedCitation":"(Nicolete et al., 2017)","plainCitation":"(Nicolete et al., 2017)","noteIndex":0},"citationItems":[{"id":1543,"uris":["http://zotero.org/users/4795968/items/FH3FD7X5"],"uri":["http://zotero.org/users/4795968/items/FH3FD7X5"],"itemData":{"id":1543,"type":"article-journal","container-title":"Revista de Educación a Distancia (RED)","issue":"52","source":"Google Scholar","title":"Technology Integration Actions in Mathematics teaching in Brazilian Basic Education: Stimulating STEM disciplines","title-short":"Technology Integration Actions in Mathematics teaching in Brazilian Basic Education","author":[{"family":"Nicolete","given":"Priscila Cadorin"},{"family":"Bilessimo","given":"Simone Meister Sommer"},{"family":"Silva Cristiano","given":"Marta Adriana","non-dropping-particle":"da"},{"family":"Simão","given":"José Pedro Schardosim"},{"family":"Silva","given":"Juarez Bento","non-dropping-particle":"da"}],"issued":{"date-parts":[["2017"]]}}}],"schema":"https://github.com/citation-style-language/schema/raw/master/csl-citation.json"} </w:instrText>
      </w:r>
      <w:r>
        <w:rPr>
          <w:rFonts w:ascii="Garamond" w:hAnsi="Garamond"/>
          <w:b/>
          <w:iCs/>
          <w:color w:val="000000" w:themeColor="text1"/>
        </w:rPr>
        <w:fldChar w:fldCharType="separate"/>
      </w:r>
      <w:r w:rsidRPr="0032104D">
        <w:rPr>
          <w:rFonts w:ascii="Garamond" w:hAnsi="Garamond"/>
        </w:rPr>
        <w:t>(Nicolete et al., 2017)</w:t>
      </w:r>
      <w:r>
        <w:rPr>
          <w:rFonts w:ascii="Garamond" w:hAnsi="Garamond"/>
          <w:b/>
          <w:iCs/>
          <w:color w:val="000000" w:themeColor="text1"/>
        </w:rPr>
        <w:fldChar w:fldCharType="end"/>
      </w:r>
    </w:p>
    <w:p w14:paraId="7194B4DB" w14:textId="291F22DE" w:rsidR="00411B60" w:rsidRDefault="00411B60" w:rsidP="0032104D">
      <w:pPr>
        <w:autoSpaceDE w:val="0"/>
        <w:jc w:val="center"/>
        <w:rPr>
          <w:rFonts w:ascii="Cambria" w:hAnsi="Cambria"/>
          <w:sz w:val="22"/>
          <w:szCs w:val="22"/>
          <w:lang w:val="id-ID"/>
        </w:rPr>
      </w:pPr>
    </w:p>
    <w:p w14:paraId="2A8954AC" w14:textId="2FD0A6F6" w:rsidR="00411B60" w:rsidRPr="00411B60" w:rsidRDefault="00411B60" w:rsidP="00411B60">
      <w:pPr>
        <w:autoSpaceDE w:val="0"/>
        <w:ind w:firstLine="720"/>
        <w:jc w:val="both"/>
        <w:rPr>
          <w:rFonts w:ascii="Cambria" w:hAnsi="Cambria"/>
          <w:sz w:val="22"/>
          <w:szCs w:val="22"/>
        </w:rPr>
      </w:pPr>
      <w:r w:rsidRPr="00411B60">
        <w:rPr>
          <w:rFonts w:ascii="Cambria" w:hAnsi="Cambria"/>
          <w:sz w:val="22"/>
          <w:szCs w:val="22"/>
          <w:lang w:val="id-ID"/>
        </w:rPr>
        <w:t xml:space="preserve">A synthesis of this knowledge leads to techniques for efficient and effective use of teaching and learning technologies. This framework, the combination of CK, PK, and TK, is focused on, and uses, the intersection of these concepts for proposal evaluation by the association (TPK). The Educational Technological Knowledge Content (TPCK) is the ideal knowledge for teachers to integrate technology into their teaching practice after the first time they interact with knowledge </w:t>
      </w:r>
      <w:r>
        <w:rPr>
          <w:rFonts w:ascii="Cambria" w:hAnsi="Cambria"/>
          <w:sz w:val="22"/>
          <w:szCs w:val="22"/>
        </w:rPr>
        <w:fldChar w:fldCharType="begin"/>
      </w:r>
      <w:r>
        <w:rPr>
          <w:rFonts w:ascii="Cambria" w:hAnsi="Cambria"/>
          <w:sz w:val="22"/>
          <w:szCs w:val="22"/>
        </w:rPr>
        <w:instrText xml:space="preserve"> ADDIN ZOTERO_ITEM CSL_CITATION {"citationID":"VKY7uEut","properties":{"formattedCitation":"(Mishra &amp; Koehler, 2006)","plainCitation":"(Mishra &amp; Koehler, 2006)","noteIndex":0},"citationItems":[{"id":1546,"uris":["http://zotero.org/users/4795968/items/HLNJAB5I"],"uri":["http://zotero.org/users/4795968/items/HLNJAB5I"],"itemData":{"id":1546,"type":"article-journal","container-title":"Teachers college record","issue":"6","note":"ISBN: 0161-4681","page":"1017-1054","title":"Technological pedagogical content knowledge: A framework for teacher knowledge","volume":"108","author":[{"family":"Mishra","given":"Punya"},{"family":"Koehler","given":"Matthew J."}],"issued":{"date-parts":[["2006"]]}}}],"schema":"https://github.com/citation-style-language/schema/raw/master/csl-citation.json"} </w:instrText>
      </w:r>
      <w:r>
        <w:rPr>
          <w:rFonts w:ascii="Cambria" w:hAnsi="Cambria"/>
          <w:sz w:val="22"/>
          <w:szCs w:val="22"/>
        </w:rPr>
        <w:fldChar w:fldCharType="separate"/>
      </w:r>
      <w:r w:rsidRPr="00411B60">
        <w:rPr>
          <w:rFonts w:ascii="Cambria" w:hAnsi="Cambria"/>
          <w:sz w:val="22"/>
        </w:rPr>
        <w:t>(Mishra &amp; Koehler, 2006)</w:t>
      </w:r>
      <w:r>
        <w:rPr>
          <w:rFonts w:ascii="Cambria" w:hAnsi="Cambria"/>
          <w:sz w:val="22"/>
          <w:szCs w:val="22"/>
        </w:rPr>
        <w:fldChar w:fldCharType="end"/>
      </w:r>
      <w:r>
        <w:rPr>
          <w:rFonts w:ascii="Cambria" w:hAnsi="Cambria"/>
          <w:sz w:val="22"/>
          <w:szCs w:val="22"/>
        </w:rPr>
        <w:t>.</w:t>
      </w:r>
    </w:p>
    <w:p w14:paraId="63DAB6AF" w14:textId="7BB8C176" w:rsidR="0032104D" w:rsidRDefault="0032104D" w:rsidP="0032104D">
      <w:pPr>
        <w:autoSpaceDE w:val="0"/>
        <w:jc w:val="center"/>
        <w:rPr>
          <w:rFonts w:ascii="Cambria" w:hAnsi="Cambria"/>
          <w:sz w:val="22"/>
          <w:szCs w:val="22"/>
          <w:lang w:val="id-ID"/>
        </w:rPr>
      </w:pPr>
    </w:p>
    <w:p w14:paraId="19F9EAFF" w14:textId="229D2D2D"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CONCLUSION</w:t>
      </w:r>
    </w:p>
    <w:p w14:paraId="3D88DB2B" w14:textId="20A62FFA" w:rsidR="00F56648" w:rsidRDefault="00F56648" w:rsidP="00755763">
      <w:pPr>
        <w:autoSpaceDE w:val="0"/>
        <w:ind w:firstLine="567"/>
        <w:jc w:val="both"/>
        <w:rPr>
          <w:rFonts w:ascii="Cambria" w:hAnsi="Cambria"/>
          <w:color w:val="000000"/>
          <w:sz w:val="22"/>
          <w:szCs w:val="22"/>
        </w:rPr>
      </w:pPr>
      <w:r w:rsidRPr="00F56648">
        <w:rPr>
          <w:rFonts w:ascii="Cambria" w:hAnsi="Cambria"/>
          <w:color w:val="000000"/>
          <w:sz w:val="22"/>
          <w:szCs w:val="22"/>
        </w:rPr>
        <w:t>It is possible to conclude that there are differences in learning between STEM and conventional, indicating that STEM learning is superior to conventional. In terms of gender differences, female students outperform boys in mathematical critical thinking skills. There is no interaction between learning and gender. As a result, the use of STEM is more effective in the learning process and provides female students with higher mathematical critical thinking skills. Despite the fact that there is no interaction between learning and gender.</w:t>
      </w:r>
    </w:p>
    <w:p w14:paraId="3769E05A" w14:textId="64E46723" w:rsidR="00F56648" w:rsidRPr="006654C5" w:rsidRDefault="00F56648" w:rsidP="00755763">
      <w:pPr>
        <w:autoSpaceDE w:val="0"/>
        <w:ind w:firstLine="567"/>
        <w:jc w:val="both"/>
        <w:rPr>
          <w:rFonts w:ascii="Cambria" w:hAnsi="Cambria"/>
          <w:color w:val="000000"/>
          <w:sz w:val="22"/>
          <w:szCs w:val="22"/>
        </w:rPr>
      </w:pPr>
      <w:r w:rsidRPr="00F56648">
        <w:rPr>
          <w:rFonts w:ascii="Cambria" w:hAnsi="Cambria"/>
          <w:color w:val="000000"/>
          <w:sz w:val="22"/>
          <w:szCs w:val="22"/>
        </w:rPr>
        <w:t>This study has limitations, such as only measuring mathematical creative thinking skills in geometry material, which limits its applicability to other materials. By paying attention to time and more directing to students, STEM learning can be used as a learning solution in the twenty-first century.</w:t>
      </w:r>
    </w:p>
    <w:p w14:paraId="04BF6431" w14:textId="1BAE1722" w:rsidR="00650EC7" w:rsidRPr="00913E00" w:rsidRDefault="00F96250" w:rsidP="00913E00">
      <w:pPr>
        <w:autoSpaceDE w:val="0"/>
        <w:spacing w:before="240" w:after="120"/>
        <w:jc w:val="center"/>
        <w:rPr>
          <w:rFonts w:ascii="Cambria" w:hAnsi="Cambria"/>
          <w:b/>
          <w:color w:val="000000"/>
          <w:sz w:val="22"/>
          <w:szCs w:val="22"/>
          <w:lang w:val="fi-FI"/>
        </w:rPr>
      </w:pPr>
      <w:r>
        <w:rPr>
          <w:rFonts w:ascii="Cambria" w:hAnsi="Cambria"/>
          <w:b/>
          <w:color w:val="000000"/>
          <w:sz w:val="22"/>
          <w:szCs w:val="22"/>
          <w:lang w:val="fi-FI"/>
        </w:rPr>
        <w:t>AKNOWLEDGMENT</w:t>
      </w:r>
    </w:p>
    <w:p w14:paraId="1F99F13C" w14:textId="6A31DEBD" w:rsidR="002E7866" w:rsidRPr="006654C5" w:rsidRDefault="002E7866" w:rsidP="00814719">
      <w:pPr>
        <w:autoSpaceDE w:val="0"/>
        <w:ind w:firstLine="567"/>
        <w:jc w:val="both"/>
        <w:rPr>
          <w:rFonts w:ascii="Cambria" w:hAnsi="Cambria"/>
          <w:color w:val="000000"/>
          <w:sz w:val="22"/>
          <w:szCs w:val="22"/>
          <w:lang w:val="fi-FI"/>
        </w:rPr>
      </w:pPr>
      <w:r w:rsidRPr="002E7866">
        <w:rPr>
          <w:rFonts w:ascii="Cambria" w:hAnsi="Cambria"/>
          <w:color w:val="000000"/>
          <w:sz w:val="22"/>
          <w:szCs w:val="22"/>
          <w:lang w:val="fi-FI"/>
        </w:rPr>
        <w:lastRenderedPageBreak/>
        <w:t xml:space="preserve">The author would like to thank SMK </w:t>
      </w:r>
      <w:r>
        <w:rPr>
          <w:rFonts w:ascii="Cambria" w:hAnsi="Cambria"/>
          <w:color w:val="000000"/>
          <w:sz w:val="22"/>
          <w:szCs w:val="22"/>
          <w:lang w:val="fi-FI"/>
        </w:rPr>
        <w:t xml:space="preserve">Nurul Islam, South Lampung </w:t>
      </w:r>
      <w:r w:rsidRPr="002E7866">
        <w:rPr>
          <w:rFonts w:ascii="Cambria" w:hAnsi="Cambria"/>
          <w:color w:val="000000"/>
          <w:sz w:val="22"/>
          <w:szCs w:val="22"/>
          <w:lang w:val="fi-FI"/>
        </w:rPr>
        <w:t>for granting permission to use their data in this study.</w:t>
      </w:r>
    </w:p>
    <w:p w14:paraId="0FE403E8" w14:textId="77777777" w:rsidR="00650EC7" w:rsidRPr="006654C5" w:rsidRDefault="00650EC7" w:rsidP="00755763">
      <w:pPr>
        <w:autoSpaceDE w:val="0"/>
        <w:rPr>
          <w:rFonts w:ascii="Cambria" w:hAnsi="Cambria"/>
          <w:color w:val="000000"/>
          <w:sz w:val="22"/>
          <w:szCs w:val="22"/>
          <w:lang w:val="fi-FI"/>
        </w:rPr>
      </w:pPr>
    </w:p>
    <w:p w14:paraId="39768B3C" w14:textId="5B19D82A" w:rsidR="00650EC7" w:rsidRPr="00913E00" w:rsidRDefault="00913E00" w:rsidP="00913E00">
      <w:pPr>
        <w:autoSpaceDE w:val="0"/>
        <w:spacing w:after="240"/>
        <w:jc w:val="center"/>
        <w:rPr>
          <w:rFonts w:ascii="Cambria" w:hAnsi="Cambria"/>
          <w:b/>
          <w:color w:val="000000"/>
          <w:lang w:val="fi-FI"/>
        </w:rPr>
      </w:pPr>
      <w:r w:rsidRPr="00913E00">
        <w:rPr>
          <w:rFonts w:ascii="Cambria" w:hAnsi="Cambria"/>
          <w:b/>
          <w:color w:val="000000"/>
          <w:lang w:val="fi-FI"/>
        </w:rPr>
        <w:t>REFERENCES</w:t>
      </w:r>
    </w:p>
    <w:bookmarkStart w:id="0" w:name="_GoBack"/>
    <w:p w14:paraId="07A5D403" w14:textId="77777777" w:rsidR="00411B60" w:rsidRPr="00411B60" w:rsidRDefault="00496C0A" w:rsidP="00E825BF">
      <w:pPr>
        <w:pStyle w:val="Bibliography"/>
        <w:spacing w:line="240" w:lineRule="auto"/>
        <w:jc w:val="both"/>
        <w:rPr>
          <w:rFonts w:ascii="Cambria" w:hAnsi="Cambria"/>
          <w:sz w:val="22"/>
        </w:rPr>
      </w:pPr>
      <w:r>
        <w:rPr>
          <w:rFonts w:ascii="Cambria" w:hAnsi="Cambria"/>
          <w:b/>
          <w:sz w:val="22"/>
          <w:szCs w:val="22"/>
        </w:rPr>
        <w:fldChar w:fldCharType="begin"/>
      </w:r>
      <w:r w:rsidR="006A7F67">
        <w:rPr>
          <w:rFonts w:ascii="Cambria" w:hAnsi="Cambria"/>
          <w:b/>
          <w:sz w:val="22"/>
          <w:szCs w:val="22"/>
        </w:rPr>
        <w:instrText xml:space="preserve"> ADDIN ZOTERO_BIBL {"uncited":[],"omitted":[],"custom":[]} CSL_BIBLIOGRAPHY </w:instrText>
      </w:r>
      <w:r>
        <w:rPr>
          <w:rFonts w:ascii="Cambria" w:hAnsi="Cambria"/>
          <w:b/>
          <w:sz w:val="22"/>
          <w:szCs w:val="22"/>
        </w:rPr>
        <w:fldChar w:fldCharType="separate"/>
      </w:r>
      <w:r w:rsidR="00411B60" w:rsidRPr="00411B60">
        <w:rPr>
          <w:rFonts w:ascii="Cambria" w:hAnsi="Cambria"/>
          <w:sz w:val="22"/>
        </w:rPr>
        <w:t xml:space="preserve">Abdullah, A. H., Mokhtar, M., Abd Halim, N. D., Ali, D. F., Tahir, L. M., &amp; Kohar, U. H. A. (2016). Mathematics teachers’ level of knowledge and practice on the implementation of higher-order thinking skills (HOTS). </w:t>
      </w:r>
      <w:r w:rsidR="00411B60" w:rsidRPr="00411B60">
        <w:rPr>
          <w:rFonts w:ascii="Cambria" w:hAnsi="Cambria"/>
          <w:i/>
          <w:iCs/>
          <w:sz w:val="22"/>
        </w:rPr>
        <w:t>Eurasia Journal of Mathematics, Science and Technology Education</w:t>
      </w:r>
      <w:r w:rsidR="00411B60" w:rsidRPr="00411B60">
        <w:rPr>
          <w:rFonts w:ascii="Cambria" w:hAnsi="Cambria"/>
          <w:sz w:val="22"/>
        </w:rPr>
        <w:t xml:space="preserve">, </w:t>
      </w:r>
      <w:r w:rsidR="00411B60" w:rsidRPr="00411B60">
        <w:rPr>
          <w:rFonts w:ascii="Cambria" w:hAnsi="Cambria"/>
          <w:i/>
          <w:iCs/>
          <w:sz w:val="22"/>
        </w:rPr>
        <w:t>13</w:t>
      </w:r>
      <w:r w:rsidR="00411B60" w:rsidRPr="00411B60">
        <w:rPr>
          <w:rFonts w:ascii="Cambria" w:hAnsi="Cambria"/>
          <w:sz w:val="22"/>
        </w:rPr>
        <w:t>(1), 3–17.</w:t>
      </w:r>
    </w:p>
    <w:p w14:paraId="7FC3374D"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Acar, D., Tertemiz, N., &amp; Taşdemir, A. (2018). The Effects of STEM Training on the Academic Achievement of 4th Graders in Science and Mathematics and their Views on STEM Training. </w:t>
      </w:r>
      <w:r w:rsidRPr="00411B60">
        <w:rPr>
          <w:rFonts w:ascii="Cambria" w:hAnsi="Cambria"/>
          <w:i/>
          <w:iCs/>
          <w:sz w:val="22"/>
        </w:rPr>
        <w:t>International Electronic Journal of Elementary Education</w:t>
      </w:r>
      <w:r w:rsidRPr="00411B60">
        <w:rPr>
          <w:rFonts w:ascii="Cambria" w:hAnsi="Cambria"/>
          <w:sz w:val="22"/>
        </w:rPr>
        <w:t xml:space="preserve">, </w:t>
      </w:r>
      <w:r w:rsidRPr="00411B60">
        <w:rPr>
          <w:rFonts w:ascii="Cambria" w:hAnsi="Cambria"/>
          <w:i/>
          <w:iCs/>
          <w:sz w:val="22"/>
        </w:rPr>
        <w:t>10</w:t>
      </w:r>
      <w:r w:rsidRPr="00411B60">
        <w:rPr>
          <w:rFonts w:ascii="Cambria" w:hAnsi="Cambria"/>
          <w:sz w:val="22"/>
        </w:rPr>
        <w:t>(4), 505–513.</w:t>
      </w:r>
    </w:p>
    <w:p w14:paraId="7F2D785C"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Adlim, M., Saminan, &amp; Ariestia, S. (2015). Pengembangan Modul STEM Terintegrasi Kewirausahaan untuk Meningkatkan Keterampilan Proses Sains di SMA Negeri 4 Banda Aceh. </w:t>
      </w:r>
      <w:r w:rsidRPr="00411B60">
        <w:rPr>
          <w:rFonts w:ascii="Cambria" w:hAnsi="Cambria"/>
          <w:i/>
          <w:iCs/>
          <w:sz w:val="22"/>
        </w:rPr>
        <w:t>Jurnal Pendidikan Sains Indonesia</w:t>
      </w:r>
      <w:r w:rsidRPr="00411B60">
        <w:rPr>
          <w:rFonts w:ascii="Cambria" w:hAnsi="Cambria"/>
          <w:sz w:val="22"/>
        </w:rPr>
        <w:t xml:space="preserve">, </w:t>
      </w:r>
      <w:r w:rsidRPr="00411B60">
        <w:rPr>
          <w:rFonts w:ascii="Cambria" w:hAnsi="Cambria"/>
          <w:i/>
          <w:iCs/>
          <w:sz w:val="22"/>
        </w:rPr>
        <w:t>3</w:t>
      </w:r>
      <w:r w:rsidRPr="00411B60">
        <w:rPr>
          <w:rFonts w:ascii="Cambria" w:hAnsi="Cambria"/>
          <w:sz w:val="22"/>
        </w:rPr>
        <w:t>(2), 112–121.</w:t>
      </w:r>
    </w:p>
    <w:p w14:paraId="0E6F5723"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Andriani, S., Suyitno, H., Junaidi, I., Suherman, S., Mujib, M., &amp; Mardiyah, M. (2019). The Application of Differential Equation of Verhulst Population Model on Estimation of Bandar Lampung Population. </w:t>
      </w:r>
      <w:r w:rsidRPr="00411B60">
        <w:rPr>
          <w:rFonts w:ascii="Cambria" w:hAnsi="Cambria"/>
          <w:i/>
          <w:iCs/>
          <w:sz w:val="22"/>
        </w:rPr>
        <w:t>Journal of Physics: Conference Series</w:t>
      </w:r>
      <w:r w:rsidRPr="00411B60">
        <w:rPr>
          <w:rFonts w:ascii="Cambria" w:hAnsi="Cambria"/>
          <w:sz w:val="22"/>
        </w:rPr>
        <w:t xml:space="preserve">, </w:t>
      </w:r>
      <w:r w:rsidRPr="00411B60">
        <w:rPr>
          <w:rFonts w:ascii="Cambria" w:hAnsi="Cambria"/>
          <w:i/>
          <w:iCs/>
          <w:sz w:val="22"/>
        </w:rPr>
        <w:t>1155</w:t>
      </w:r>
      <w:r w:rsidRPr="00411B60">
        <w:rPr>
          <w:rFonts w:ascii="Cambria" w:hAnsi="Cambria"/>
          <w:sz w:val="22"/>
        </w:rPr>
        <w:t>, 012017.</w:t>
      </w:r>
    </w:p>
    <w:p w14:paraId="606E9AFA"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Borrego, M., &amp; Henderson, C. (2014). Increasing the use of evidence‐based teaching in STEM higher education: A comparison of eight change strategies. </w:t>
      </w:r>
      <w:r w:rsidRPr="00411B60">
        <w:rPr>
          <w:rFonts w:ascii="Cambria" w:hAnsi="Cambria"/>
          <w:i/>
          <w:iCs/>
          <w:sz w:val="22"/>
        </w:rPr>
        <w:t>Journal of Engineering Education</w:t>
      </w:r>
      <w:r w:rsidRPr="00411B60">
        <w:rPr>
          <w:rFonts w:ascii="Cambria" w:hAnsi="Cambria"/>
          <w:sz w:val="22"/>
        </w:rPr>
        <w:t xml:space="preserve">, </w:t>
      </w:r>
      <w:r w:rsidRPr="00411B60">
        <w:rPr>
          <w:rFonts w:ascii="Cambria" w:hAnsi="Cambria"/>
          <w:i/>
          <w:iCs/>
          <w:sz w:val="22"/>
        </w:rPr>
        <w:t>103</w:t>
      </w:r>
      <w:r w:rsidRPr="00411B60">
        <w:rPr>
          <w:rFonts w:ascii="Cambria" w:hAnsi="Cambria"/>
          <w:sz w:val="22"/>
        </w:rPr>
        <w:t>(2), 220–252.</w:t>
      </w:r>
    </w:p>
    <w:p w14:paraId="0E3C4AAE"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Canning, E. A., Muenks, K., Green, D. J., &amp; Murphy, M. C. (2019). STEM faculty who believe ability is fixed have larger racial achievement gaps and inspire less student motivation in their classes. </w:t>
      </w:r>
      <w:r w:rsidRPr="00411B60">
        <w:rPr>
          <w:rFonts w:ascii="Cambria" w:hAnsi="Cambria"/>
          <w:i/>
          <w:iCs/>
          <w:sz w:val="22"/>
        </w:rPr>
        <w:t>Science Advances</w:t>
      </w:r>
      <w:r w:rsidRPr="00411B60">
        <w:rPr>
          <w:rFonts w:ascii="Cambria" w:hAnsi="Cambria"/>
          <w:sz w:val="22"/>
        </w:rPr>
        <w:t xml:space="preserve">, </w:t>
      </w:r>
      <w:r w:rsidRPr="00411B60">
        <w:rPr>
          <w:rFonts w:ascii="Cambria" w:hAnsi="Cambria"/>
          <w:i/>
          <w:iCs/>
          <w:sz w:val="22"/>
        </w:rPr>
        <w:t>5</w:t>
      </w:r>
      <w:r w:rsidRPr="00411B60">
        <w:rPr>
          <w:rFonts w:ascii="Cambria" w:hAnsi="Cambria"/>
          <w:sz w:val="22"/>
        </w:rPr>
        <w:t>(2), eaau4734.</w:t>
      </w:r>
    </w:p>
    <w:p w14:paraId="3A09B13B"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Chai, C. S. (2019). Teacher professional development for science, technology, engineering and mathematics (STEM) education: A review from the perspectives of technological pedagogical content (TPACK). </w:t>
      </w:r>
      <w:r w:rsidRPr="00411B60">
        <w:rPr>
          <w:rFonts w:ascii="Cambria" w:hAnsi="Cambria"/>
          <w:i/>
          <w:iCs/>
          <w:sz w:val="22"/>
        </w:rPr>
        <w:t>The Asia-Pacific Education Researcher</w:t>
      </w:r>
      <w:r w:rsidRPr="00411B60">
        <w:rPr>
          <w:rFonts w:ascii="Cambria" w:hAnsi="Cambria"/>
          <w:sz w:val="22"/>
        </w:rPr>
        <w:t xml:space="preserve">, </w:t>
      </w:r>
      <w:r w:rsidRPr="00411B60">
        <w:rPr>
          <w:rFonts w:ascii="Cambria" w:hAnsi="Cambria"/>
          <w:i/>
          <w:iCs/>
          <w:sz w:val="22"/>
        </w:rPr>
        <w:t>28</w:t>
      </w:r>
      <w:r w:rsidRPr="00411B60">
        <w:rPr>
          <w:rFonts w:ascii="Cambria" w:hAnsi="Cambria"/>
          <w:sz w:val="22"/>
        </w:rPr>
        <w:t>(1), 5–13.</w:t>
      </w:r>
    </w:p>
    <w:p w14:paraId="20E0EADE"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Depaepe, F., Verschaffel, L., &amp; Kelchtermans, G. (2013). Pedagogical content knowledge: A systematic review of the way in which the concept has pervaded mathematics educational research. </w:t>
      </w:r>
      <w:r w:rsidRPr="00411B60">
        <w:rPr>
          <w:rFonts w:ascii="Cambria" w:hAnsi="Cambria"/>
          <w:i/>
          <w:iCs/>
          <w:sz w:val="22"/>
        </w:rPr>
        <w:t>Teaching and Teacher Education</w:t>
      </w:r>
      <w:r w:rsidRPr="00411B60">
        <w:rPr>
          <w:rFonts w:ascii="Cambria" w:hAnsi="Cambria"/>
          <w:sz w:val="22"/>
        </w:rPr>
        <w:t xml:space="preserve">, </w:t>
      </w:r>
      <w:r w:rsidRPr="00411B60">
        <w:rPr>
          <w:rFonts w:ascii="Cambria" w:hAnsi="Cambria"/>
          <w:i/>
          <w:iCs/>
          <w:sz w:val="22"/>
        </w:rPr>
        <w:t>34</w:t>
      </w:r>
      <w:r w:rsidRPr="00411B60">
        <w:rPr>
          <w:rFonts w:ascii="Cambria" w:hAnsi="Cambria"/>
          <w:sz w:val="22"/>
        </w:rPr>
        <w:t>, 12–25.</w:t>
      </w:r>
    </w:p>
    <w:p w14:paraId="6F9F1698"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Eynon, B., Gambino, L. M., &amp; Török, J. (2014). What Difference Can ePortfolio Make? A Field Report from the Connect to Learning Project. </w:t>
      </w:r>
      <w:r w:rsidRPr="00411B60">
        <w:rPr>
          <w:rFonts w:ascii="Cambria" w:hAnsi="Cambria"/>
          <w:i/>
          <w:iCs/>
          <w:sz w:val="22"/>
        </w:rPr>
        <w:t>International Journal of EPortfolio</w:t>
      </w:r>
      <w:r w:rsidRPr="00411B60">
        <w:rPr>
          <w:rFonts w:ascii="Cambria" w:hAnsi="Cambria"/>
          <w:sz w:val="22"/>
        </w:rPr>
        <w:t xml:space="preserve">, </w:t>
      </w:r>
      <w:r w:rsidRPr="00411B60">
        <w:rPr>
          <w:rFonts w:ascii="Cambria" w:hAnsi="Cambria"/>
          <w:i/>
          <w:iCs/>
          <w:sz w:val="22"/>
        </w:rPr>
        <w:t>4</w:t>
      </w:r>
      <w:r w:rsidRPr="00411B60">
        <w:rPr>
          <w:rFonts w:ascii="Cambria" w:hAnsi="Cambria"/>
          <w:sz w:val="22"/>
        </w:rPr>
        <w:t>(1), 95–114.</w:t>
      </w:r>
    </w:p>
    <w:p w14:paraId="4532BE27"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Fadholi, T., Waluya, B., &amp; Mulyono. (2015). Analisis pembelajaran Matematika dan kemampuan literasi serta karakter siswa SMK. </w:t>
      </w:r>
      <w:r w:rsidRPr="00411B60">
        <w:rPr>
          <w:rFonts w:ascii="Cambria" w:hAnsi="Cambria"/>
          <w:i/>
          <w:iCs/>
          <w:sz w:val="22"/>
        </w:rPr>
        <w:t>Unnes Journal of Mathematics Education Research</w:t>
      </w:r>
      <w:r w:rsidRPr="00411B60">
        <w:rPr>
          <w:rFonts w:ascii="Cambria" w:hAnsi="Cambria"/>
          <w:sz w:val="22"/>
        </w:rPr>
        <w:t xml:space="preserve">, </w:t>
      </w:r>
      <w:r w:rsidRPr="00411B60">
        <w:rPr>
          <w:rFonts w:ascii="Cambria" w:hAnsi="Cambria"/>
          <w:i/>
          <w:iCs/>
          <w:sz w:val="22"/>
        </w:rPr>
        <w:t>4</w:t>
      </w:r>
      <w:r w:rsidRPr="00411B60">
        <w:rPr>
          <w:rFonts w:ascii="Cambria" w:hAnsi="Cambria"/>
          <w:sz w:val="22"/>
        </w:rPr>
        <w:t>(1), 42–48.</w:t>
      </w:r>
    </w:p>
    <w:p w14:paraId="46B5BE9A"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Happy, N., &amp; Widjajanti, D. B. (2014). Keefektifan PBL ditinjau dari kemampuan berpikir kritis dan kreatif matematis, serta self-esteem siswa SMP. </w:t>
      </w:r>
      <w:r w:rsidRPr="00411B60">
        <w:rPr>
          <w:rFonts w:ascii="Cambria" w:hAnsi="Cambria"/>
          <w:i/>
          <w:iCs/>
          <w:sz w:val="22"/>
        </w:rPr>
        <w:t>Jurnal Riset Pendidikan Matematika</w:t>
      </w:r>
      <w:r w:rsidRPr="00411B60">
        <w:rPr>
          <w:rFonts w:ascii="Cambria" w:hAnsi="Cambria"/>
          <w:sz w:val="22"/>
        </w:rPr>
        <w:t xml:space="preserve">, </w:t>
      </w:r>
      <w:r w:rsidRPr="00411B60">
        <w:rPr>
          <w:rFonts w:ascii="Cambria" w:hAnsi="Cambria"/>
          <w:i/>
          <w:iCs/>
          <w:sz w:val="22"/>
        </w:rPr>
        <w:t>1</w:t>
      </w:r>
      <w:r w:rsidRPr="00411B60">
        <w:rPr>
          <w:rFonts w:ascii="Cambria" w:hAnsi="Cambria"/>
          <w:sz w:val="22"/>
        </w:rPr>
        <w:t>(1), 48–57.</w:t>
      </w:r>
    </w:p>
    <w:p w14:paraId="455DEB05"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Hobbs, L., Clark, J. C., &amp; Plant, B. (2018). Successful students–STEM program: Teacher learning through a multifaceted vision for STEM education. In </w:t>
      </w:r>
      <w:r w:rsidRPr="00411B60">
        <w:rPr>
          <w:rFonts w:ascii="Cambria" w:hAnsi="Cambria"/>
          <w:i/>
          <w:iCs/>
          <w:sz w:val="22"/>
        </w:rPr>
        <w:t>STEM education in the junior secondary</w:t>
      </w:r>
      <w:r w:rsidRPr="00411B60">
        <w:rPr>
          <w:rFonts w:ascii="Cambria" w:hAnsi="Cambria"/>
          <w:sz w:val="22"/>
        </w:rPr>
        <w:t xml:space="preserve"> (pp. 133–168). Springer.</w:t>
      </w:r>
    </w:p>
    <w:p w14:paraId="3F0DE6D3"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Istenic Starčič, A., Cotic, M., Solomonides, I., &amp; Volk, M. (2016). Engaging preservice primary and preprimary school teachers in digital storytelling for the teaching and learning of mathematics. </w:t>
      </w:r>
      <w:r w:rsidRPr="00411B60">
        <w:rPr>
          <w:rFonts w:ascii="Cambria" w:hAnsi="Cambria"/>
          <w:i/>
          <w:iCs/>
          <w:sz w:val="22"/>
        </w:rPr>
        <w:t>British Journal of Educational Technology</w:t>
      </w:r>
      <w:r w:rsidRPr="00411B60">
        <w:rPr>
          <w:rFonts w:ascii="Cambria" w:hAnsi="Cambria"/>
          <w:sz w:val="22"/>
        </w:rPr>
        <w:t xml:space="preserve">, </w:t>
      </w:r>
      <w:r w:rsidRPr="00411B60">
        <w:rPr>
          <w:rFonts w:ascii="Cambria" w:hAnsi="Cambria"/>
          <w:i/>
          <w:iCs/>
          <w:sz w:val="22"/>
        </w:rPr>
        <w:t>47</w:t>
      </w:r>
      <w:r w:rsidRPr="00411B60">
        <w:rPr>
          <w:rFonts w:ascii="Cambria" w:hAnsi="Cambria"/>
          <w:sz w:val="22"/>
        </w:rPr>
        <w:t>(1), 29–50.</w:t>
      </w:r>
    </w:p>
    <w:p w14:paraId="135CF57C"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Kariyana, I., &amp; Sonn, R. A. (2016). Teaching Methods and Learners’ Concept Formation, Development and Integration in Geometry: Assessing the Relationship. </w:t>
      </w:r>
      <w:r w:rsidRPr="00411B60">
        <w:rPr>
          <w:rFonts w:ascii="Cambria" w:hAnsi="Cambria"/>
          <w:i/>
          <w:iCs/>
          <w:sz w:val="22"/>
        </w:rPr>
        <w:t>International Journal of Educational Sciences</w:t>
      </w:r>
      <w:r w:rsidRPr="00411B60">
        <w:rPr>
          <w:rFonts w:ascii="Cambria" w:hAnsi="Cambria"/>
          <w:sz w:val="22"/>
        </w:rPr>
        <w:t xml:space="preserve">, </w:t>
      </w:r>
      <w:r w:rsidRPr="00411B60">
        <w:rPr>
          <w:rFonts w:ascii="Cambria" w:hAnsi="Cambria"/>
          <w:i/>
          <w:iCs/>
          <w:sz w:val="22"/>
        </w:rPr>
        <w:t>12</w:t>
      </w:r>
      <w:r w:rsidRPr="00411B60">
        <w:rPr>
          <w:rFonts w:ascii="Cambria" w:hAnsi="Cambria"/>
          <w:sz w:val="22"/>
        </w:rPr>
        <w:t>(1), 75–88. https://doi.org/10.1080/09751122.2016.11890415</w:t>
      </w:r>
    </w:p>
    <w:p w14:paraId="70425ECD"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Kelley, T. R., &amp; Knowles, J. G. (2016). A conceptual framework for integrated STEM education. </w:t>
      </w:r>
      <w:r w:rsidRPr="00411B60">
        <w:rPr>
          <w:rFonts w:ascii="Cambria" w:hAnsi="Cambria"/>
          <w:i/>
          <w:iCs/>
          <w:sz w:val="22"/>
        </w:rPr>
        <w:t>International Journal of STEM Education</w:t>
      </w:r>
      <w:r w:rsidRPr="00411B60">
        <w:rPr>
          <w:rFonts w:ascii="Cambria" w:hAnsi="Cambria"/>
          <w:sz w:val="22"/>
        </w:rPr>
        <w:t xml:space="preserve">, </w:t>
      </w:r>
      <w:r w:rsidRPr="00411B60">
        <w:rPr>
          <w:rFonts w:ascii="Cambria" w:hAnsi="Cambria"/>
          <w:i/>
          <w:iCs/>
          <w:sz w:val="22"/>
        </w:rPr>
        <w:t>3</w:t>
      </w:r>
      <w:r w:rsidRPr="00411B60">
        <w:rPr>
          <w:rFonts w:ascii="Cambria" w:hAnsi="Cambria"/>
          <w:sz w:val="22"/>
        </w:rPr>
        <w:t>(1), 11.</w:t>
      </w:r>
    </w:p>
    <w:p w14:paraId="3D3BC6A0"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Komarudin, K., Rosmawati, N., &amp; Suherman, S. (2020). The Effect of Algebra Finger-Based Brain Gym Method to Improve Student Learning Outcomes. </w:t>
      </w:r>
      <w:r w:rsidRPr="00411B60">
        <w:rPr>
          <w:rFonts w:ascii="Cambria" w:hAnsi="Cambria"/>
          <w:i/>
          <w:iCs/>
          <w:sz w:val="22"/>
        </w:rPr>
        <w:t>Eduma: Mathematics Education Learning and Teaching</w:t>
      </w:r>
      <w:r w:rsidRPr="00411B60">
        <w:rPr>
          <w:rFonts w:ascii="Cambria" w:hAnsi="Cambria"/>
          <w:sz w:val="22"/>
        </w:rPr>
        <w:t xml:space="preserve">, </w:t>
      </w:r>
      <w:r w:rsidRPr="00411B60">
        <w:rPr>
          <w:rFonts w:ascii="Cambria" w:hAnsi="Cambria"/>
          <w:i/>
          <w:iCs/>
          <w:sz w:val="22"/>
        </w:rPr>
        <w:t>8</w:t>
      </w:r>
      <w:r w:rsidRPr="00411B60">
        <w:rPr>
          <w:rFonts w:ascii="Cambria" w:hAnsi="Cambria"/>
          <w:sz w:val="22"/>
        </w:rPr>
        <w:t>(2), 80–88.</w:t>
      </w:r>
    </w:p>
    <w:p w14:paraId="393FAE2F"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Kusumah, R. G. T. (2019). Peningkatan Kemampuan Berfikir Kritis Mahasiswa Tadris IPA Melalui Pendekatan Saintifik Pada Mata kuliah IPA Terpadu. </w:t>
      </w:r>
      <w:r w:rsidRPr="00411B60">
        <w:rPr>
          <w:rFonts w:ascii="Cambria" w:hAnsi="Cambria"/>
          <w:i/>
          <w:iCs/>
          <w:sz w:val="22"/>
        </w:rPr>
        <w:t>IJIS Edu: Indonesian Journal of Integrated Science Education</w:t>
      </w:r>
      <w:r w:rsidRPr="00411B60">
        <w:rPr>
          <w:rFonts w:ascii="Cambria" w:hAnsi="Cambria"/>
          <w:sz w:val="22"/>
        </w:rPr>
        <w:t xml:space="preserve">, </w:t>
      </w:r>
      <w:r w:rsidRPr="00411B60">
        <w:rPr>
          <w:rFonts w:ascii="Cambria" w:hAnsi="Cambria"/>
          <w:i/>
          <w:iCs/>
          <w:sz w:val="22"/>
        </w:rPr>
        <w:t>1</w:t>
      </w:r>
      <w:r w:rsidRPr="00411B60">
        <w:rPr>
          <w:rFonts w:ascii="Cambria" w:hAnsi="Cambria"/>
          <w:sz w:val="22"/>
        </w:rPr>
        <w:t>(1), 71–84.</w:t>
      </w:r>
    </w:p>
    <w:p w14:paraId="5B0A148B"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lastRenderedPageBreak/>
        <w:t xml:space="preserve">Lamote, H. (2017). Kesulitan-kesulitan guru matematika dalam melaksanakan pembelajaran kurikulum 2013 di Madrasah Aliyah DDI Labibia. </w:t>
      </w:r>
      <w:r w:rsidRPr="00411B60">
        <w:rPr>
          <w:rFonts w:ascii="Cambria" w:hAnsi="Cambria"/>
          <w:i/>
          <w:iCs/>
          <w:sz w:val="22"/>
        </w:rPr>
        <w:t>Jurnal Al-Ta’dib</w:t>
      </w:r>
      <w:r w:rsidRPr="00411B60">
        <w:rPr>
          <w:rFonts w:ascii="Cambria" w:hAnsi="Cambria"/>
          <w:sz w:val="22"/>
        </w:rPr>
        <w:t xml:space="preserve">, </w:t>
      </w:r>
      <w:r w:rsidRPr="00411B60">
        <w:rPr>
          <w:rFonts w:ascii="Cambria" w:hAnsi="Cambria"/>
          <w:i/>
          <w:iCs/>
          <w:sz w:val="22"/>
        </w:rPr>
        <w:t>10</w:t>
      </w:r>
      <w:r w:rsidRPr="00411B60">
        <w:rPr>
          <w:rFonts w:ascii="Cambria" w:hAnsi="Cambria"/>
          <w:sz w:val="22"/>
        </w:rPr>
        <w:t>(1), 55–72.</w:t>
      </w:r>
    </w:p>
    <w:p w14:paraId="2CC2FFAD"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Liau, A., Kassim, M., &amp; Liau, M. T. L. (2007). </w:t>
      </w:r>
      <w:r w:rsidRPr="00411B60">
        <w:rPr>
          <w:rFonts w:ascii="Cambria" w:hAnsi="Cambria"/>
          <w:i/>
          <w:iCs/>
          <w:sz w:val="22"/>
        </w:rPr>
        <w:t>Reliability and validity of a Malay translation of the Fennema-Sherman Mathematics Attitudes Scales</w:t>
      </w:r>
      <w:r w:rsidRPr="00411B60">
        <w:rPr>
          <w:rFonts w:ascii="Cambria" w:hAnsi="Cambria"/>
          <w:sz w:val="22"/>
        </w:rPr>
        <w:t>.</w:t>
      </w:r>
    </w:p>
    <w:p w14:paraId="4FD747E5"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Maass, K., Geiger, V., Ariza, M. R., &amp; Goos, M. (2019). The role of mathematics in interdisciplinary STEM education. </w:t>
      </w:r>
      <w:r w:rsidRPr="00411B60">
        <w:rPr>
          <w:rFonts w:ascii="Cambria" w:hAnsi="Cambria"/>
          <w:i/>
          <w:iCs/>
          <w:sz w:val="22"/>
        </w:rPr>
        <w:t>ZDM</w:t>
      </w:r>
      <w:r w:rsidRPr="00411B60">
        <w:rPr>
          <w:rFonts w:ascii="Cambria" w:hAnsi="Cambria"/>
          <w:sz w:val="22"/>
        </w:rPr>
        <w:t>, 1–16.</w:t>
      </w:r>
    </w:p>
    <w:p w14:paraId="10EDF0F0"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Mahmuzah, R. (2015). Peningkatan Kemampuan Berpikir Kritis Matematis Siswa SMP Melalui Pendekatan Problem Posing. </w:t>
      </w:r>
      <w:r w:rsidRPr="00411B60">
        <w:rPr>
          <w:rFonts w:ascii="Cambria" w:hAnsi="Cambria"/>
          <w:i/>
          <w:iCs/>
          <w:sz w:val="22"/>
        </w:rPr>
        <w:t>Jurnal Peluang</w:t>
      </w:r>
      <w:r w:rsidRPr="00411B60">
        <w:rPr>
          <w:rFonts w:ascii="Cambria" w:hAnsi="Cambria"/>
          <w:sz w:val="22"/>
        </w:rPr>
        <w:t xml:space="preserve">, </w:t>
      </w:r>
      <w:r w:rsidRPr="00411B60">
        <w:rPr>
          <w:rFonts w:ascii="Cambria" w:hAnsi="Cambria"/>
          <w:i/>
          <w:iCs/>
          <w:sz w:val="22"/>
        </w:rPr>
        <w:t>4</w:t>
      </w:r>
      <w:r w:rsidRPr="00411B60">
        <w:rPr>
          <w:rFonts w:ascii="Cambria" w:hAnsi="Cambria"/>
          <w:sz w:val="22"/>
        </w:rPr>
        <w:t>(1).</w:t>
      </w:r>
    </w:p>
    <w:p w14:paraId="1340EB60"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Martín‐Páez, T., Aguilera, D., Perales‐Palacios, F. J., &amp; Vílchez‐González, J. M. (2019). What are we talking about when we talk about STEM education? A review of literature. </w:t>
      </w:r>
      <w:r w:rsidRPr="00411B60">
        <w:rPr>
          <w:rFonts w:ascii="Cambria" w:hAnsi="Cambria"/>
          <w:i/>
          <w:iCs/>
          <w:sz w:val="22"/>
        </w:rPr>
        <w:t>Science Education</w:t>
      </w:r>
      <w:r w:rsidRPr="00411B60">
        <w:rPr>
          <w:rFonts w:ascii="Cambria" w:hAnsi="Cambria"/>
          <w:sz w:val="22"/>
        </w:rPr>
        <w:t xml:space="preserve">, </w:t>
      </w:r>
      <w:r w:rsidRPr="00411B60">
        <w:rPr>
          <w:rFonts w:ascii="Cambria" w:hAnsi="Cambria"/>
          <w:i/>
          <w:iCs/>
          <w:sz w:val="22"/>
        </w:rPr>
        <w:t>103</w:t>
      </w:r>
      <w:r w:rsidRPr="00411B60">
        <w:rPr>
          <w:rFonts w:ascii="Cambria" w:hAnsi="Cambria"/>
          <w:sz w:val="22"/>
        </w:rPr>
        <w:t>(4), 799–822.</w:t>
      </w:r>
    </w:p>
    <w:p w14:paraId="3C928097"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Meifiani, N. I., &amp; Prasetyo, T. D. (2015). Pengaruh Motivasi Terhadap Prestasi Ditinjau Dari Perbedaan Jenis Kelamin Mahasiswa STKIP PGRI Pacitan. </w:t>
      </w:r>
      <w:r w:rsidRPr="00411B60">
        <w:rPr>
          <w:rFonts w:ascii="Cambria" w:hAnsi="Cambria"/>
          <w:i/>
          <w:iCs/>
          <w:sz w:val="22"/>
        </w:rPr>
        <w:t>Jurnal Derivat: Jurnal Matematika Dan Pendidikan Matematika</w:t>
      </w:r>
      <w:r w:rsidRPr="00411B60">
        <w:rPr>
          <w:rFonts w:ascii="Cambria" w:hAnsi="Cambria"/>
          <w:sz w:val="22"/>
        </w:rPr>
        <w:t xml:space="preserve">, </w:t>
      </w:r>
      <w:r w:rsidRPr="00411B60">
        <w:rPr>
          <w:rFonts w:ascii="Cambria" w:hAnsi="Cambria"/>
          <w:i/>
          <w:iCs/>
          <w:sz w:val="22"/>
        </w:rPr>
        <w:t>2</w:t>
      </w:r>
      <w:r w:rsidRPr="00411B60">
        <w:rPr>
          <w:rFonts w:ascii="Cambria" w:hAnsi="Cambria"/>
          <w:sz w:val="22"/>
        </w:rPr>
        <w:t>(1), 1–10.</w:t>
      </w:r>
    </w:p>
    <w:p w14:paraId="5B5BFBF8"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Mishra, P., &amp; Koehler, M. J. (2006). Technological pedagogical content knowledge: A framework for teacher knowledge. </w:t>
      </w:r>
      <w:r w:rsidRPr="00411B60">
        <w:rPr>
          <w:rFonts w:ascii="Cambria" w:hAnsi="Cambria"/>
          <w:i/>
          <w:iCs/>
          <w:sz w:val="22"/>
        </w:rPr>
        <w:t>Teachers College Record</w:t>
      </w:r>
      <w:r w:rsidRPr="00411B60">
        <w:rPr>
          <w:rFonts w:ascii="Cambria" w:hAnsi="Cambria"/>
          <w:sz w:val="22"/>
        </w:rPr>
        <w:t xml:space="preserve">, </w:t>
      </w:r>
      <w:r w:rsidRPr="00411B60">
        <w:rPr>
          <w:rFonts w:ascii="Cambria" w:hAnsi="Cambria"/>
          <w:i/>
          <w:iCs/>
          <w:sz w:val="22"/>
        </w:rPr>
        <w:t>108</w:t>
      </w:r>
      <w:r w:rsidRPr="00411B60">
        <w:rPr>
          <w:rFonts w:ascii="Cambria" w:hAnsi="Cambria"/>
          <w:sz w:val="22"/>
        </w:rPr>
        <w:t>(6), 1017–1054.</w:t>
      </w:r>
    </w:p>
    <w:p w14:paraId="72DE2E22"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Mujib, M. (2015). Membangun kreativitas siswa dengan teori schoenfeld pada pembelajaran matematika melalui lesson study. </w:t>
      </w:r>
      <w:r w:rsidRPr="00411B60">
        <w:rPr>
          <w:rFonts w:ascii="Cambria" w:hAnsi="Cambria"/>
          <w:i/>
          <w:iCs/>
          <w:sz w:val="22"/>
        </w:rPr>
        <w:t>Al-Jabar: Jurnal Pendidikan Matematika</w:t>
      </w:r>
      <w:r w:rsidRPr="00411B60">
        <w:rPr>
          <w:rFonts w:ascii="Cambria" w:hAnsi="Cambria"/>
          <w:sz w:val="22"/>
        </w:rPr>
        <w:t xml:space="preserve">, </w:t>
      </w:r>
      <w:r w:rsidRPr="00411B60">
        <w:rPr>
          <w:rFonts w:ascii="Cambria" w:hAnsi="Cambria"/>
          <w:i/>
          <w:iCs/>
          <w:sz w:val="22"/>
        </w:rPr>
        <w:t>6</w:t>
      </w:r>
      <w:r w:rsidRPr="00411B60">
        <w:rPr>
          <w:rFonts w:ascii="Cambria" w:hAnsi="Cambria"/>
          <w:sz w:val="22"/>
        </w:rPr>
        <w:t>(1), 53–62.</w:t>
      </w:r>
    </w:p>
    <w:p w14:paraId="509CD4C6"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Nicolete, P. C., Bilessimo, S. M. S., da Silva Cristiano, M. A., Simão, J. P. S., &amp; da Silva, J. B. (2017). Technology Integration Actions in Mathematics teaching in Brazilian Basic Education: Stimulating STEM disciplines. </w:t>
      </w:r>
      <w:r w:rsidRPr="00411B60">
        <w:rPr>
          <w:rFonts w:ascii="Cambria" w:hAnsi="Cambria"/>
          <w:i/>
          <w:iCs/>
          <w:sz w:val="22"/>
        </w:rPr>
        <w:t>Revista de Educación a Distancia (RED)</w:t>
      </w:r>
      <w:r w:rsidRPr="00411B60">
        <w:rPr>
          <w:rFonts w:ascii="Cambria" w:hAnsi="Cambria"/>
          <w:sz w:val="22"/>
        </w:rPr>
        <w:t xml:space="preserve">, </w:t>
      </w:r>
      <w:r w:rsidRPr="00411B60">
        <w:rPr>
          <w:rFonts w:ascii="Cambria" w:hAnsi="Cambria"/>
          <w:i/>
          <w:iCs/>
          <w:sz w:val="22"/>
        </w:rPr>
        <w:t>52</w:t>
      </w:r>
      <w:r w:rsidRPr="00411B60">
        <w:rPr>
          <w:rFonts w:ascii="Cambria" w:hAnsi="Cambria"/>
          <w:sz w:val="22"/>
        </w:rPr>
        <w:t>.</w:t>
      </w:r>
    </w:p>
    <w:p w14:paraId="2B9B84AD"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Putra, F. G., Widyawati, S., KOMARUDİN, K., &amp; ARYANİ, S. (2020). An experiment on connecting, organizing, reflecting, and extending (core) learning model and learning styles: The interaction and effects on mathematical communication skills. </w:t>
      </w:r>
      <w:r w:rsidRPr="00411B60">
        <w:rPr>
          <w:rFonts w:ascii="Cambria" w:hAnsi="Cambria"/>
          <w:i/>
          <w:iCs/>
          <w:sz w:val="22"/>
        </w:rPr>
        <w:t>Journal for the Mathematics Education and Teaching Practices</w:t>
      </w:r>
      <w:r w:rsidRPr="00411B60">
        <w:rPr>
          <w:rFonts w:ascii="Cambria" w:hAnsi="Cambria"/>
          <w:sz w:val="22"/>
        </w:rPr>
        <w:t xml:space="preserve">, </w:t>
      </w:r>
      <w:r w:rsidRPr="00411B60">
        <w:rPr>
          <w:rFonts w:ascii="Cambria" w:hAnsi="Cambria"/>
          <w:i/>
          <w:iCs/>
          <w:sz w:val="22"/>
        </w:rPr>
        <w:t>1</w:t>
      </w:r>
      <w:r w:rsidRPr="00411B60">
        <w:rPr>
          <w:rFonts w:ascii="Cambria" w:hAnsi="Cambria"/>
          <w:sz w:val="22"/>
        </w:rPr>
        <w:t>(1), 37–42.</w:t>
      </w:r>
    </w:p>
    <w:p w14:paraId="083DA509"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Salavera, C., Usan, P., &amp; Jarie, L. (2017). Emotional intelligence and social skills on self-efficacy in secondary education students. Are there gender differences? </w:t>
      </w:r>
      <w:r w:rsidRPr="00411B60">
        <w:rPr>
          <w:rFonts w:ascii="Cambria" w:hAnsi="Cambria"/>
          <w:i/>
          <w:iCs/>
          <w:sz w:val="22"/>
        </w:rPr>
        <w:t>Journal of Adolescence</w:t>
      </w:r>
      <w:r w:rsidRPr="00411B60">
        <w:rPr>
          <w:rFonts w:ascii="Cambria" w:hAnsi="Cambria"/>
          <w:sz w:val="22"/>
        </w:rPr>
        <w:t xml:space="preserve">, </w:t>
      </w:r>
      <w:r w:rsidRPr="00411B60">
        <w:rPr>
          <w:rFonts w:ascii="Cambria" w:hAnsi="Cambria"/>
          <w:i/>
          <w:iCs/>
          <w:sz w:val="22"/>
        </w:rPr>
        <w:t>60</w:t>
      </w:r>
      <w:r w:rsidRPr="00411B60">
        <w:rPr>
          <w:rFonts w:ascii="Cambria" w:hAnsi="Cambria"/>
          <w:sz w:val="22"/>
        </w:rPr>
        <w:t>, 39–46.</w:t>
      </w:r>
    </w:p>
    <w:p w14:paraId="3FF108FC"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Sari, Y. S., Selisne, M., &amp; Ramli, R. (2019). Role of students worksheet in STEM approach to achieve competence of physics learning. </w:t>
      </w:r>
      <w:r w:rsidRPr="00411B60">
        <w:rPr>
          <w:rFonts w:ascii="Cambria" w:hAnsi="Cambria"/>
          <w:i/>
          <w:iCs/>
          <w:sz w:val="22"/>
        </w:rPr>
        <w:t>Journal of Physics: Conference Series</w:t>
      </w:r>
      <w:r w:rsidRPr="00411B60">
        <w:rPr>
          <w:rFonts w:ascii="Cambria" w:hAnsi="Cambria"/>
          <w:sz w:val="22"/>
        </w:rPr>
        <w:t xml:space="preserve">, </w:t>
      </w:r>
      <w:r w:rsidRPr="00411B60">
        <w:rPr>
          <w:rFonts w:ascii="Cambria" w:hAnsi="Cambria"/>
          <w:i/>
          <w:iCs/>
          <w:sz w:val="22"/>
        </w:rPr>
        <w:t>1185</w:t>
      </w:r>
      <w:r w:rsidRPr="00411B60">
        <w:rPr>
          <w:rFonts w:ascii="Cambria" w:hAnsi="Cambria"/>
          <w:sz w:val="22"/>
        </w:rPr>
        <w:t>(1), 012096.</w:t>
      </w:r>
    </w:p>
    <w:p w14:paraId="1CF286AA"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Schleicher, A. (2019). PISA 2018: Insights and Interpretations. </w:t>
      </w:r>
      <w:r w:rsidRPr="00411B60">
        <w:rPr>
          <w:rFonts w:ascii="Cambria" w:hAnsi="Cambria"/>
          <w:i/>
          <w:iCs/>
          <w:sz w:val="22"/>
        </w:rPr>
        <w:t>OECD Publishing</w:t>
      </w:r>
      <w:r w:rsidRPr="00411B60">
        <w:rPr>
          <w:rFonts w:ascii="Cambria" w:hAnsi="Cambria"/>
          <w:sz w:val="22"/>
        </w:rPr>
        <w:t>.</w:t>
      </w:r>
    </w:p>
    <w:p w14:paraId="1F24D671"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Setiawan, A. (2016). Hubungan Kausal Penalaran Matematis terhadap Prestasi Belajar Matematika pada Materi Bangun Ruang Sisi Datar ditinjau dari Motivasi Belajar Matematika Siswa. </w:t>
      </w:r>
      <w:r w:rsidRPr="00411B60">
        <w:rPr>
          <w:rFonts w:ascii="Cambria" w:hAnsi="Cambria"/>
          <w:i/>
          <w:iCs/>
          <w:sz w:val="22"/>
        </w:rPr>
        <w:t>Al-Jabar: Jurnal Pendidikan Matematika</w:t>
      </w:r>
      <w:r w:rsidRPr="00411B60">
        <w:rPr>
          <w:rFonts w:ascii="Cambria" w:hAnsi="Cambria"/>
          <w:sz w:val="22"/>
        </w:rPr>
        <w:t xml:space="preserve">, </w:t>
      </w:r>
      <w:r w:rsidRPr="00411B60">
        <w:rPr>
          <w:rFonts w:ascii="Cambria" w:hAnsi="Cambria"/>
          <w:i/>
          <w:iCs/>
          <w:sz w:val="22"/>
        </w:rPr>
        <w:t>7</w:t>
      </w:r>
      <w:r w:rsidRPr="00411B60">
        <w:rPr>
          <w:rFonts w:ascii="Cambria" w:hAnsi="Cambria"/>
          <w:sz w:val="22"/>
        </w:rPr>
        <w:t>(1), 91–100.</w:t>
      </w:r>
    </w:p>
    <w:p w14:paraId="634366BE"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Shernoff, D. J., Sinha, S., Bressler, D. M., &amp; Ginsburg, L. (2017). Assessing teacher education and professional development needs for the implementation of integrated approaches to STEM education. </w:t>
      </w:r>
      <w:r w:rsidRPr="00411B60">
        <w:rPr>
          <w:rFonts w:ascii="Cambria" w:hAnsi="Cambria"/>
          <w:i/>
          <w:iCs/>
          <w:sz w:val="22"/>
        </w:rPr>
        <w:t>International Journal of STEM Education</w:t>
      </w:r>
      <w:r w:rsidRPr="00411B60">
        <w:rPr>
          <w:rFonts w:ascii="Cambria" w:hAnsi="Cambria"/>
          <w:sz w:val="22"/>
        </w:rPr>
        <w:t xml:space="preserve">, </w:t>
      </w:r>
      <w:r w:rsidRPr="00411B60">
        <w:rPr>
          <w:rFonts w:ascii="Cambria" w:hAnsi="Cambria"/>
          <w:i/>
          <w:iCs/>
          <w:sz w:val="22"/>
        </w:rPr>
        <w:t>4</w:t>
      </w:r>
      <w:r w:rsidRPr="00411B60">
        <w:rPr>
          <w:rFonts w:ascii="Cambria" w:hAnsi="Cambria"/>
          <w:sz w:val="22"/>
        </w:rPr>
        <w:t>(1), 1–16.</w:t>
      </w:r>
    </w:p>
    <w:p w14:paraId="2BC981FB"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Siregar, N. C., Rosli, R., Maat, S. M., &amp; Capraro, M. M. (2019). The effect of science, technology, engineering and mathematics (STEM) program on students’ achievement in mathematics: A meta-analysis. </w:t>
      </w:r>
      <w:r w:rsidRPr="00411B60">
        <w:rPr>
          <w:rFonts w:ascii="Cambria" w:hAnsi="Cambria"/>
          <w:i/>
          <w:iCs/>
          <w:sz w:val="22"/>
        </w:rPr>
        <w:t>International Electronic Journal of Mathematics Education</w:t>
      </w:r>
      <w:r w:rsidRPr="00411B60">
        <w:rPr>
          <w:rFonts w:ascii="Cambria" w:hAnsi="Cambria"/>
          <w:sz w:val="22"/>
        </w:rPr>
        <w:t xml:space="preserve">, </w:t>
      </w:r>
      <w:r w:rsidRPr="00411B60">
        <w:rPr>
          <w:rFonts w:ascii="Cambria" w:hAnsi="Cambria"/>
          <w:i/>
          <w:iCs/>
          <w:sz w:val="22"/>
        </w:rPr>
        <w:t>15</w:t>
      </w:r>
      <w:r w:rsidRPr="00411B60">
        <w:rPr>
          <w:rFonts w:ascii="Cambria" w:hAnsi="Cambria"/>
          <w:sz w:val="22"/>
        </w:rPr>
        <w:t>(1), em0549.</w:t>
      </w:r>
    </w:p>
    <w:p w14:paraId="6C8C56CB"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Struyf, A., De Loof, H., Boeve-de Pauw, J., &amp; Van Petegem, P. (2019). Students’ engagement in different STEM learning environments: Integrated STEM education as promising practice? </w:t>
      </w:r>
      <w:r w:rsidRPr="00411B60">
        <w:rPr>
          <w:rFonts w:ascii="Cambria" w:hAnsi="Cambria"/>
          <w:i/>
          <w:iCs/>
          <w:sz w:val="22"/>
        </w:rPr>
        <w:t>International Journal of Science Education</w:t>
      </w:r>
      <w:r w:rsidRPr="00411B60">
        <w:rPr>
          <w:rFonts w:ascii="Cambria" w:hAnsi="Cambria"/>
          <w:sz w:val="22"/>
        </w:rPr>
        <w:t xml:space="preserve">, </w:t>
      </w:r>
      <w:r w:rsidRPr="00411B60">
        <w:rPr>
          <w:rFonts w:ascii="Cambria" w:hAnsi="Cambria"/>
          <w:i/>
          <w:iCs/>
          <w:sz w:val="22"/>
        </w:rPr>
        <w:t>41</w:t>
      </w:r>
      <w:r w:rsidRPr="00411B60">
        <w:rPr>
          <w:rFonts w:ascii="Cambria" w:hAnsi="Cambria"/>
          <w:sz w:val="22"/>
        </w:rPr>
        <w:t>(10), 1387–1407.</w:t>
      </w:r>
    </w:p>
    <w:p w14:paraId="5EEA9711"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Suherman. (2015). Kreativitas Siswa Dalam Memecahkan Masalah Matematika Materi Pola Bilangan dengan Pendekatan Matematika Realistik (PMR). </w:t>
      </w:r>
      <w:r w:rsidRPr="00411B60">
        <w:rPr>
          <w:rFonts w:ascii="Cambria" w:hAnsi="Cambria"/>
          <w:i/>
          <w:iCs/>
          <w:sz w:val="22"/>
        </w:rPr>
        <w:t>Al-Jabar: Jurnal Pendidikan Matematika</w:t>
      </w:r>
      <w:r w:rsidRPr="00411B60">
        <w:rPr>
          <w:rFonts w:ascii="Cambria" w:hAnsi="Cambria"/>
          <w:sz w:val="22"/>
        </w:rPr>
        <w:t xml:space="preserve">, </w:t>
      </w:r>
      <w:r w:rsidRPr="00411B60">
        <w:rPr>
          <w:rFonts w:ascii="Cambria" w:hAnsi="Cambria"/>
          <w:i/>
          <w:iCs/>
          <w:sz w:val="22"/>
        </w:rPr>
        <w:t>6</w:t>
      </w:r>
      <w:r w:rsidRPr="00411B60">
        <w:rPr>
          <w:rFonts w:ascii="Cambria" w:hAnsi="Cambria"/>
          <w:sz w:val="22"/>
        </w:rPr>
        <w:t>(1), 81–90.</w:t>
      </w:r>
    </w:p>
    <w:p w14:paraId="68B2419D"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Suherman, S., &amp; Diana, N. (2019). Pemahaman Konsep Matematis Peserta Didik Melalui Model Pembelajaran Tari Bambu Dipadukan Dengan CRH. </w:t>
      </w:r>
      <w:r w:rsidRPr="00411B60">
        <w:rPr>
          <w:rFonts w:ascii="Cambria" w:hAnsi="Cambria"/>
          <w:i/>
          <w:iCs/>
          <w:sz w:val="22"/>
        </w:rPr>
        <w:t>Edu Sains: Jurnal Pendidikan Sains Dan Matematika</w:t>
      </w:r>
      <w:r w:rsidRPr="00411B60">
        <w:rPr>
          <w:rFonts w:ascii="Cambria" w:hAnsi="Cambria"/>
          <w:sz w:val="22"/>
        </w:rPr>
        <w:t xml:space="preserve">, </w:t>
      </w:r>
      <w:r w:rsidRPr="00411B60">
        <w:rPr>
          <w:rFonts w:ascii="Cambria" w:hAnsi="Cambria"/>
          <w:i/>
          <w:iCs/>
          <w:sz w:val="22"/>
        </w:rPr>
        <w:t>7</w:t>
      </w:r>
      <w:r w:rsidRPr="00411B60">
        <w:rPr>
          <w:rFonts w:ascii="Cambria" w:hAnsi="Cambria"/>
          <w:sz w:val="22"/>
        </w:rPr>
        <w:t>(2), 31–42.</w:t>
      </w:r>
    </w:p>
    <w:p w14:paraId="198C0718"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Suherman, S., Komarudin, K., Rosyid, A., Aryanita, S., Asriyanto, D., Aradika Putra, T., &amp; Anggoro, T. (2018). Improving Trigonometry Concept Through STEM (Science, Technology, Engineering, and Mathematics) Learning. </w:t>
      </w:r>
      <w:r w:rsidRPr="00411B60">
        <w:rPr>
          <w:rFonts w:ascii="Cambria" w:hAnsi="Cambria"/>
          <w:i/>
          <w:iCs/>
          <w:sz w:val="22"/>
        </w:rPr>
        <w:t>International Conference On Multidisciplinary Academic (ICMA)</w:t>
      </w:r>
      <w:r w:rsidRPr="00411B60">
        <w:rPr>
          <w:rFonts w:ascii="Cambria" w:hAnsi="Cambria"/>
          <w:sz w:val="22"/>
        </w:rPr>
        <w:t>.</w:t>
      </w:r>
    </w:p>
    <w:p w14:paraId="2BF8DC24"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lastRenderedPageBreak/>
        <w:t xml:space="preserve">Sunyoung, H. A. N., Rosli, R., Capraro, M. M., &amp; Capraro, R. M. (2016). The effect of science, technology, engineering and mathematics (STEM) project based learning (PBL) on students’ achievement in four mathematics topics. </w:t>
      </w:r>
      <w:r w:rsidRPr="00411B60">
        <w:rPr>
          <w:rFonts w:ascii="Cambria" w:hAnsi="Cambria"/>
          <w:i/>
          <w:iCs/>
          <w:sz w:val="22"/>
        </w:rPr>
        <w:t>Journal of Turkish Science Education</w:t>
      </w:r>
      <w:r w:rsidRPr="00411B60">
        <w:rPr>
          <w:rFonts w:ascii="Cambria" w:hAnsi="Cambria"/>
          <w:sz w:val="22"/>
        </w:rPr>
        <w:t xml:space="preserve">, </w:t>
      </w:r>
      <w:r w:rsidRPr="00411B60">
        <w:rPr>
          <w:rFonts w:ascii="Cambria" w:hAnsi="Cambria"/>
          <w:i/>
          <w:iCs/>
          <w:sz w:val="22"/>
        </w:rPr>
        <w:t>13</w:t>
      </w:r>
      <w:r w:rsidRPr="00411B60">
        <w:rPr>
          <w:rFonts w:ascii="Cambria" w:hAnsi="Cambria"/>
          <w:sz w:val="22"/>
        </w:rPr>
        <w:t>(special), 3.</w:t>
      </w:r>
    </w:p>
    <w:p w14:paraId="0522224E"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Surya, E., Syahputra, E., &amp; Juniati, N. (2018). Effect of problem based learning toward mathematical communication ability and self-regulated learning. </w:t>
      </w:r>
      <w:r w:rsidRPr="00411B60">
        <w:rPr>
          <w:rFonts w:ascii="Cambria" w:hAnsi="Cambria"/>
          <w:i/>
          <w:iCs/>
          <w:sz w:val="22"/>
        </w:rPr>
        <w:t>Journal of Education and Practice</w:t>
      </w:r>
      <w:r w:rsidRPr="00411B60">
        <w:rPr>
          <w:rFonts w:ascii="Cambria" w:hAnsi="Cambria"/>
          <w:sz w:val="22"/>
        </w:rPr>
        <w:t xml:space="preserve">, </w:t>
      </w:r>
      <w:r w:rsidRPr="00411B60">
        <w:rPr>
          <w:rFonts w:ascii="Cambria" w:hAnsi="Cambria"/>
          <w:i/>
          <w:iCs/>
          <w:sz w:val="22"/>
        </w:rPr>
        <w:t>9</w:t>
      </w:r>
      <w:r w:rsidRPr="00411B60">
        <w:rPr>
          <w:rFonts w:ascii="Cambria" w:hAnsi="Cambria"/>
          <w:sz w:val="22"/>
        </w:rPr>
        <w:t>(6), 14–23.</w:t>
      </w:r>
    </w:p>
    <w:p w14:paraId="098AB9EB"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Syabrina Sarmi, R. (2019). Learning media analysis in the development of integrated science teacher book with theme the energy in the life using type integrated of 21st century learning. </w:t>
      </w:r>
      <w:r w:rsidRPr="00411B60">
        <w:rPr>
          <w:rFonts w:ascii="Cambria" w:hAnsi="Cambria"/>
          <w:i/>
          <w:iCs/>
          <w:sz w:val="22"/>
        </w:rPr>
        <w:t>Journal of Physics Conference Series</w:t>
      </w:r>
      <w:r w:rsidRPr="00411B60">
        <w:rPr>
          <w:rFonts w:ascii="Cambria" w:hAnsi="Cambria"/>
          <w:sz w:val="22"/>
        </w:rPr>
        <w:t xml:space="preserve">, </w:t>
      </w:r>
      <w:r w:rsidRPr="00411B60">
        <w:rPr>
          <w:rFonts w:ascii="Cambria" w:hAnsi="Cambria"/>
          <w:i/>
          <w:iCs/>
          <w:sz w:val="22"/>
        </w:rPr>
        <w:t>1185</w:t>
      </w:r>
      <w:r w:rsidRPr="00411B60">
        <w:rPr>
          <w:rFonts w:ascii="Cambria" w:hAnsi="Cambria"/>
          <w:sz w:val="22"/>
        </w:rPr>
        <w:t>(1).</w:t>
      </w:r>
    </w:p>
    <w:p w14:paraId="2A0B2CF6"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Syutharidho, &amp; Rakhmawati, R. (2015). Pengembangan Soal Berpikir Kritis Untuk Siswa Smp Kelas VIII. </w:t>
      </w:r>
      <w:r w:rsidRPr="00411B60">
        <w:rPr>
          <w:rFonts w:ascii="Cambria" w:hAnsi="Cambria"/>
          <w:i/>
          <w:iCs/>
          <w:sz w:val="22"/>
        </w:rPr>
        <w:t>Al-Jabar: Jurnal Pendidikan Matematika</w:t>
      </w:r>
      <w:r w:rsidRPr="00411B60">
        <w:rPr>
          <w:rFonts w:ascii="Cambria" w:hAnsi="Cambria"/>
          <w:sz w:val="22"/>
        </w:rPr>
        <w:t xml:space="preserve">, </w:t>
      </w:r>
      <w:r w:rsidRPr="00411B60">
        <w:rPr>
          <w:rFonts w:ascii="Cambria" w:hAnsi="Cambria"/>
          <w:i/>
          <w:iCs/>
          <w:sz w:val="22"/>
        </w:rPr>
        <w:t>6</w:t>
      </w:r>
      <w:r w:rsidRPr="00411B60">
        <w:rPr>
          <w:rFonts w:ascii="Cambria" w:hAnsi="Cambria"/>
          <w:sz w:val="22"/>
        </w:rPr>
        <w:t>(2), 219–227.</w:t>
      </w:r>
    </w:p>
    <w:p w14:paraId="09C8A2E0" w14:textId="77777777" w:rsidR="00411B60" w:rsidRPr="00411B60" w:rsidRDefault="00411B60" w:rsidP="00E825BF">
      <w:pPr>
        <w:pStyle w:val="Bibliography"/>
        <w:spacing w:line="240" w:lineRule="auto"/>
        <w:jc w:val="both"/>
        <w:rPr>
          <w:rFonts w:ascii="Cambria" w:hAnsi="Cambria"/>
          <w:sz w:val="22"/>
        </w:rPr>
      </w:pPr>
      <w:r w:rsidRPr="00411B60">
        <w:rPr>
          <w:rFonts w:ascii="Cambria" w:hAnsi="Cambria"/>
          <w:sz w:val="22"/>
        </w:rPr>
        <w:t xml:space="preserve">Tati, T., Firman, H., &amp; Riandi, R. (2017). The Effect of STEM Learning through the Project of Designing Boat Model toward Student STEM Literacy. </w:t>
      </w:r>
      <w:r w:rsidRPr="00411B60">
        <w:rPr>
          <w:rFonts w:ascii="Cambria" w:hAnsi="Cambria"/>
          <w:i/>
          <w:iCs/>
          <w:sz w:val="22"/>
        </w:rPr>
        <w:t>International Conference on Mathematics and Science Education (ICMScE)</w:t>
      </w:r>
      <w:r w:rsidRPr="00411B60">
        <w:rPr>
          <w:rFonts w:ascii="Cambria" w:hAnsi="Cambria"/>
          <w:sz w:val="22"/>
        </w:rPr>
        <w:t>, 1–8.</w:t>
      </w:r>
    </w:p>
    <w:p w14:paraId="6EB034FE" w14:textId="31746966" w:rsidR="00F261B9" w:rsidRPr="006654C5" w:rsidRDefault="00496C0A" w:rsidP="00E825BF">
      <w:pPr>
        <w:widowControl w:val="0"/>
        <w:autoSpaceDE w:val="0"/>
        <w:autoSpaceDN w:val="0"/>
        <w:adjustRightInd w:val="0"/>
        <w:ind w:left="640" w:hanging="640"/>
        <w:jc w:val="both"/>
        <w:rPr>
          <w:rFonts w:ascii="Cambria" w:hAnsi="Cambria"/>
          <w:b/>
          <w:sz w:val="22"/>
          <w:szCs w:val="22"/>
        </w:rPr>
      </w:pPr>
      <w:r>
        <w:rPr>
          <w:rFonts w:ascii="Cambria" w:hAnsi="Cambria"/>
          <w:b/>
          <w:sz w:val="22"/>
          <w:szCs w:val="22"/>
        </w:rPr>
        <w:fldChar w:fldCharType="end"/>
      </w:r>
      <w:bookmarkEnd w:id="0"/>
    </w:p>
    <w:sectPr w:rsidR="00F261B9" w:rsidRPr="006654C5" w:rsidSect="006654C5">
      <w:headerReference w:type="even" r:id="rId21"/>
      <w:headerReference w:type="default" r:id="rId22"/>
      <w:footerReference w:type="even" r:id="rId23"/>
      <w:footerReference w:type="default" r:id="rId24"/>
      <w:headerReference w:type="first" r:id="rId25"/>
      <w:footnotePr>
        <w:pos w:val="beneathText"/>
      </w:footnotePr>
      <w:type w:val="continuous"/>
      <w:pgSz w:w="11905" w:h="16837"/>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5DDD4" w14:textId="77777777" w:rsidR="00F41EA2" w:rsidRDefault="00F41EA2" w:rsidP="004E422B">
      <w:r>
        <w:separator/>
      </w:r>
    </w:p>
  </w:endnote>
  <w:endnote w:type="continuationSeparator" w:id="0">
    <w:p w14:paraId="26281C16" w14:textId="77777777" w:rsidR="00F41EA2" w:rsidRDefault="00F41EA2"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262D02CD" w:rsidR="00557090" w:rsidRPr="00A5426A" w:rsidRDefault="007E0F5C" w:rsidP="006654C5">
        <w:pPr>
          <w:pStyle w:val="Footer"/>
          <w:pBdr>
            <w:top w:val="single" w:sz="4" w:space="1" w:color="D9D9D9" w:themeColor="background1" w:themeShade="D9"/>
          </w:pBdr>
          <w:rPr>
            <w:rFonts w:ascii="Cambria" w:hAnsi="Cambria"/>
            <w:b/>
            <w:bC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E825BF" w:rsidRPr="00E825BF">
          <w:rPr>
            <w:rFonts w:ascii="Cambria" w:hAnsi="Cambria"/>
            <w:b/>
            <w:bCs/>
            <w:noProof/>
            <w:sz w:val="20"/>
            <w:szCs w:val="20"/>
          </w:rPr>
          <w:t>10</w:t>
        </w:r>
        <w:r w:rsidRPr="00A5426A">
          <w:rPr>
            <w:rFonts w:ascii="Cambria" w:hAnsi="Cambria"/>
            <w:b/>
            <w:bCs/>
            <w:noProof/>
            <w:sz w:val="20"/>
            <w:szCs w:val="20"/>
          </w:rPr>
          <w:fldChar w:fldCharType="end"/>
        </w:r>
        <w:r w:rsidRPr="00A5426A">
          <w:rPr>
            <w:rFonts w:ascii="Cambria" w:hAnsi="Cambria"/>
            <w:b/>
            <w:bCs/>
            <w:sz w:val="20"/>
            <w:szCs w:val="20"/>
          </w:rPr>
          <w:t xml:space="preserve"> | </w:t>
        </w:r>
        <w:r w:rsidR="0096646E" w:rsidRPr="0096646E">
          <w:rPr>
            <w:rFonts w:ascii="Cambria" w:hAnsi="Cambria"/>
            <w:sz w:val="20"/>
            <w:szCs w:val="20"/>
            <w:lang w:val="en-US"/>
          </w:rPr>
          <w:t>Journal</w:t>
        </w:r>
        <w:r w:rsidR="0096646E">
          <w:rPr>
            <w:rFonts w:ascii="Cambria" w:hAnsi="Cambria"/>
            <w:noProof/>
            <w:color w:val="000000"/>
            <w:sz w:val="20"/>
            <w:szCs w:val="20"/>
            <w:lang w:val="en-US"/>
          </w:rPr>
          <w:t xml:space="preserve"> of Advanced Sciences and Mathematics Education</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0DF0" w14:textId="53D12BC8" w:rsidR="00557090" w:rsidRPr="0096646E" w:rsidRDefault="00E04E38" w:rsidP="0096646E">
    <w:pPr>
      <w:pStyle w:val="Footer"/>
      <w:pBdr>
        <w:top w:val="single" w:sz="4" w:space="1" w:color="D9D9D9" w:themeColor="background1" w:themeShade="D9"/>
      </w:pBdr>
      <w:tabs>
        <w:tab w:val="clear" w:pos="4680"/>
        <w:tab w:val="clear" w:pos="9360"/>
        <w:tab w:val="center" w:pos="4230"/>
        <w:tab w:val="right" w:pos="9353"/>
      </w:tabs>
      <w:rPr>
        <w:rFonts w:ascii="Cambria" w:hAnsi="Cambria"/>
        <w:b/>
        <w:bCs/>
      </w:rPr>
    </w:pPr>
    <w:r>
      <w:rPr>
        <w:noProof/>
        <w:color w:val="000000"/>
        <w:sz w:val="20"/>
        <w:szCs w:val="20"/>
      </w:rPr>
      <w:tab/>
    </w:r>
    <w:r>
      <w:rPr>
        <w:noProof/>
        <w:color w:val="000000"/>
        <w:sz w:val="20"/>
        <w:szCs w:val="20"/>
      </w:rPr>
      <w:tab/>
    </w:r>
    <w:r w:rsidR="0096646E" w:rsidRPr="0096646E">
      <w:rPr>
        <w:rFonts w:ascii="Cambria" w:hAnsi="Cambria"/>
        <w:sz w:val="20"/>
        <w:szCs w:val="20"/>
        <w:lang w:val="en-US"/>
      </w:rPr>
      <w:t>Journal</w:t>
    </w:r>
    <w:r w:rsidR="0096646E">
      <w:rPr>
        <w:rFonts w:ascii="Cambria" w:hAnsi="Cambria"/>
        <w:noProof/>
        <w:color w:val="000000"/>
        <w:sz w:val="20"/>
        <w:szCs w:val="20"/>
        <w:lang w:val="en-US"/>
      </w:rPr>
      <w:t xml:space="preserve"> of Advanced Sciences and Mathematics Education</w:t>
    </w:r>
    <w:r w:rsidR="007E0F5C" w:rsidRPr="00E04E38">
      <w:rPr>
        <w:rFonts w:ascii="Cambria" w:hAnsi="Cambria"/>
        <w:b/>
        <w:bCs/>
        <w:sz w:val="20"/>
        <w:szCs w:val="20"/>
      </w:rPr>
      <w:t xml:space="preserve"> |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E825BF">
      <w:rPr>
        <w:rFonts w:ascii="Cambria" w:hAnsi="Cambria"/>
        <w:b/>
        <w:bCs/>
        <w:noProof/>
        <w:sz w:val="20"/>
        <w:szCs w:val="20"/>
      </w:rPr>
      <w:t>9</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2107" w14:textId="77777777" w:rsidR="00F41EA2" w:rsidRDefault="00F41EA2" w:rsidP="004E422B">
      <w:r>
        <w:separator/>
      </w:r>
    </w:p>
  </w:footnote>
  <w:footnote w:type="continuationSeparator" w:id="0">
    <w:p w14:paraId="24D0A46A" w14:textId="77777777" w:rsidR="00F41EA2" w:rsidRDefault="00F41EA2" w:rsidP="004E42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B0FB" w14:textId="77777777" w:rsidR="00B35D54" w:rsidRPr="00B35D54" w:rsidRDefault="00B35D54" w:rsidP="00B35D54">
    <w:pPr>
      <w:pStyle w:val="NormalWeb"/>
      <w:spacing w:before="0" w:beforeAutospacing="0" w:after="0" w:afterAutospacing="0"/>
      <w:jc w:val="center"/>
      <w:rPr>
        <w:rFonts w:ascii="Cambria" w:hAnsi="Cambria"/>
        <w:b/>
        <w:bCs/>
        <w:noProof/>
        <w:color w:val="000000"/>
        <w:sz w:val="20"/>
        <w:szCs w:val="20"/>
      </w:rPr>
    </w:pPr>
    <w:r w:rsidRPr="00B35D54">
      <w:rPr>
        <w:rFonts w:ascii="Cambria" w:hAnsi="Cambria"/>
        <w:b/>
        <w:bCs/>
        <w:noProof/>
        <w:color w:val="000000"/>
        <w:sz w:val="20"/>
        <w:szCs w:val="20"/>
      </w:rPr>
      <w:t>Journal of Advanced Sciences and Mathematics Education</w:t>
    </w:r>
  </w:p>
  <w:p w14:paraId="497F424B" w14:textId="3907B7FF" w:rsidR="00650EC7" w:rsidRPr="00E04E38" w:rsidRDefault="00106286" w:rsidP="00650EC7">
    <w:pPr>
      <w:pStyle w:val="Header"/>
      <w:tabs>
        <w:tab w:val="clear" w:pos="4680"/>
        <w:tab w:val="clear" w:pos="9360"/>
        <w:tab w:val="center" w:pos="4395"/>
        <w:tab w:val="right" w:pos="8505"/>
      </w:tabs>
      <w:rPr>
        <w:rFonts w:ascii="Cambria" w:hAnsi="Cambria"/>
        <w:sz w:val="20"/>
        <w:szCs w:val="20"/>
        <w:lang w:val="en-GB"/>
      </w:rPr>
    </w:pPr>
    <w:r w:rsidRPr="00E04E38">
      <w:rPr>
        <w:rFonts w:ascii="Cambria" w:hAnsi="Cambria"/>
        <w:b/>
        <w:bCs/>
        <w:noProof/>
        <w:lang w:val="en-US" w:eastAsia="en-US"/>
      </w:rPr>
      <mc:AlternateContent>
        <mc:Choice Requires="wps">
          <w:drawing>
            <wp:anchor distT="0" distB="0" distL="114300" distR="114300" simplePos="0" relativeHeight="251656704" behindDoc="0" locked="0" layoutInCell="1" allowOverlap="1" wp14:anchorId="321F08EB" wp14:editId="084191AD">
              <wp:simplePos x="0" y="0"/>
              <wp:positionH relativeFrom="column">
                <wp:posOffset>-33655</wp:posOffset>
              </wp:positionH>
              <wp:positionV relativeFrom="paragraph">
                <wp:posOffset>0</wp:posOffset>
              </wp:positionV>
              <wp:extent cx="5940000" cy="0"/>
              <wp:effectExtent l="0" t="0" r="41910" b="5715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46B71" id="_x0000_t32" coordsize="21600,21600" o:spt="32" o:oned="t" path="m,l21600,21600e" filled="f">
              <v:path arrowok="t" fillok="f" o:connecttype="none"/>
              <o:lock v:ext="edit" shapetype="t"/>
            </v:shapetype>
            <v:shape id="AutoShape 7" o:spid="_x0000_s1026" type="#_x0000_t32" style="position:absolute;margin-left:-2.65pt;margin-top:0;width:467.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">
              <v:shadow on="t"/>
            </v:shape>
          </w:pict>
        </mc:Fallback>
      </mc:AlternateContent>
    </w:r>
    <w:r w:rsidR="00650EC7" w:rsidRPr="00E04E38">
      <w:rPr>
        <w:rFonts w:ascii="Cambria" w:hAnsi="Cambria"/>
        <w:sz w:val="20"/>
        <w:szCs w:val="20"/>
        <w:lang w:val="en-GB"/>
      </w:rPr>
      <w:t>Author</w:t>
    </w:r>
    <w:r w:rsidR="00650EC7">
      <w:rPr>
        <w:sz w:val="20"/>
        <w:szCs w:val="20"/>
      </w:rPr>
      <w:tab/>
      <w:t>│</w:t>
    </w:r>
    <w:r w:rsidR="00650EC7">
      <w:rPr>
        <w:sz w:val="20"/>
        <w:szCs w:val="20"/>
      </w:rPr>
      <w:tab/>
    </w:r>
    <w:r w:rsidR="00650EC7" w:rsidRPr="00E04E38">
      <w:rPr>
        <w:rFonts w:ascii="Cambria" w:hAnsi="Cambria"/>
        <w:sz w:val="20"/>
        <w:szCs w:val="20"/>
        <w:lang w:val="en-GB"/>
      </w:rPr>
      <w:t>Title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C9A9" w14:textId="4757B02F" w:rsidR="00557090" w:rsidRPr="00557090" w:rsidRDefault="008D0A7D" w:rsidP="00557090">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7216" behindDoc="0" locked="0" layoutInCell="1" allowOverlap="1" wp14:anchorId="009CE3CA" wp14:editId="6F221DC6">
              <wp:simplePos x="0" y="0"/>
              <wp:positionH relativeFrom="column">
                <wp:posOffset>-24130</wp:posOffset>
              </wp:positionH>
              <wp:positionV relativeFrom="paragraph">
                <wp:posOffset>125730</wp:posOffset>
              </wp:positionV>
              <wp:extent cx="5943600" cy="0"/>
              <wp:effectExtent l="0" t="0" r="3810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F7A4E" id="_x0000_t32" coordsize="21600,21600" o:spt="32" o:oned="t" path="m,l21600,21600e" filled="f">
              <v:path arrowok="t" fillok="f" o:connecttype="none"/>
              <o:lock v:ext="edit" shapetype="t"/>
            </v:shapetype>
            <v:shape id="AutoShape 7" o:spid="_x0000_s1026" type="#_x0000_t32" style="position:absolute;margin-left:-1.9pt;margin-top:9.9pt;width:46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">
              <v:shadow on="t"/>
            </v:shape>
          </w:pict>
        </mc:Fallback>
      </mc:AlternateContent>
    </w:r>
    <w:r w:rsidR="00E00FD9">
      <w:rPr>
        <w:b/>
        <w:bCs/>
        <w:color w:val="000000"/>
        <w:sz w:val="18"/>
        <w:szCs w:val="18"/>
        <w:lang w:val="en-US"/>
      </w:rPr>
      <w:t>Online Learning in Educational Research</w:t>
    </w:r>
  </w:p>
  <w:p w14:paraId="4E8028F1" w14:textId="0E0B59E5" w:rsidR="00557090" w:rsidRPr="00650EC7" w:rsidRDefault="00650EC7" w:rsidP="00557090">
    <w:pPr>
      <w:pStyle w:val="Header"/>
      <w:tabs>
        <w:tab w:val="clear" w:pos="4680"/>
        <w:tab w:val="clear" w:pos="9360"/>
        <w:tab w:val="center" w:pos="4395"/>
        <w:tab w:val="right" w:pos="8505"/>
      </w:tabs>
      <w:rPr>
        <w:sz w:val="20"/>
        <w:szCs w:val="20"/>
        <w:lang w:val="en-GB"/>
      </w:rPr>
    </w:pPr>
    <w:r>
      <w:rPr>
        <w:sz w:val="20"/>
        <w:szCs w:val="20"/>
        <w:lang w:val="en-GB"/>
      </w:rPr>
      <w:t>Author</w:t>
    </w:r>
    <w:r w:rsidR="00557090">
      <w:rPr>
        <w:sz w:val="20"/>
        <w:szCs w:val="20"/>
      </w:rPr>
      <w:tab/>
      <w:t>│</w:t>
    </w:r>
    <w:r w:rsidR="00557090">
      <w:rPr>
        <w:sz w:val="20"/>
        <w:szCs w:val="20"/>
      </w:rPr>
      <w:tab/>
    </w:r>
    <w:r>
      <w:rPr>
        <w:sz w:val="20"/>
        <w:szCs w:val="20"/>
        <w:lang w:val="en-GB"/>
      </w:rPr>
      <w:t>Title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5036" w14:textId="219B1127" w:rsidR="00B66BA4" w:rsidRDefault="007935F8" w:rsidP="00B66BA4">
    <w:pPr>
      <w:spacing w:line="140" w:lineRule="exact"/>
    </w:pPr>
    <w:r>
      <w:rPr>
        <w:noProof/>
        <w:lang w:eastAsia="en-US"/>
      </w:rPr>
      <w:drawing>
        <wp:anchor distT="0" distB="0" distL="114300" distR="114300" simplePos="0" relativeHeight="251659776" behindDoc="1" locked="0" layoutInCell="1" allowOverlap="1" wp14:anchorId="54EDD976" wp14:editId="1F2FD71A">
          <wp:simplePos x="0" y="0"/>
          <wp:positionH relativeFrom="column">
            <wp:posOffset>-100330</wp:posOffset>
          </wp:positionH>
          <wp:positionV relativeFrom="paragraph">
            <wp:posOffset>-33020</wp:posOffset>
          </wp:positionV>
          <wp:extent cx="1133475" cy="10164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016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286">
      <w:rPr>
        <w:noProof/>
        <w:lang w:eastAsia="en-US"/>
      </w:rPr>
      <mc:AlternateContent>
        <mc:Choice Requires="wpg">
          <w:drawing>
            <wp:anchor distT="0" distB="0" distL="114300" distR="114300" simplePos="0" relativeHeight="251662336" behindDoc="1" locked="0" layoutInCell="1" allowOverlap="1" wp14:anchorId="5FFC6B3E" wp14:editId="67E6F03C">
              <wp:simplePos x="0" y="0"/>
              <wp:positionH relativeFrom="page">
                <wp:posOffset>771525</wp:posOffset>
              </wp:positionH>
              <wp:positionV relativeFrom="page">
                <wp:posOffset>333375</wp:posOffset>
              </wp:positionV>
              <wp:extent cx="6048375" cy="1094105"/>
              <wp:effectExtent l="0" t="0" r="9525"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094105"/>
                        <a:chOff x="848" y="1103"/>
                        <a:chExt cx="10362" cy="1723"/>
                      </a:xfrm>
                    </wpg:grpSpPr>
                    <wps:wsp>
                      <wps:cNvPr id="14" name="Freeform 2"/>
                      <wps:cNvSpPr>
                        <a:spLocks/>
                      </wps:cNvSpPr>
                      <wps:spPr bwMode="auto">
                        <a:xfrm>
                          <a:off x="857" y="1112"/>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Freeform 3"/>
                      <wps:cNvSpPr>
                        <a:spLocks/>
                      </wps:cNvSpPr>
                      <wps:spPr bwMode="auto">
                        <a:xfrm>
                          <a:off x="2841" y="1112"/>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853"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857" y="2817"/>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837"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2841" y="2817"/>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1204"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EED4D" id="Group 13" o:spid="_x0000_s1026" style="position:absolute;margin-left:60.75pt;margin-top:26.25pt;width:476.25pt;height:86.15pt;z-index:-251654144;mso-position-horizontal-relative:page;mso-position-vertical-relative:page" coordorigin="848,1103" coordsize="1036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">
              <v:shape id="Freeform 2" o:spid="_x0000_s1027" style="position:absolute;left:857;top:1112;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" path="m,l1976,e" filled="f" strokecolor="#d9d9d9" strokeweight=".5pt">
                <v:path arrowok="t" o:connecttype="custom" o:connectlocs="0,0;1976,0" o:connectangles="0,0"/>
              </v:shape>
              <v:shape id="Freeform 3" o:spid="_x0000_s1028" style="position:absolute;left:2841;top:1112;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" path="m,l8359,e" filled="f" strokecolor="#d9d9d9" strokeweight=".5pt">
                <v:path arrowok="t" o:connecttype="custom" o:connectlocs="0,0;8359,0" o:connectangles="0,0"/>
              </v:shape>
              <v:shape id="Freeform 4" o:spid="_x0000_s1029" style="position:absolute;left:853;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" path="m,l,1713e" filled="f" strokecolor="#d9d9d9" strokeweight=".5pt">
                <v:path arrowok="t" o:connecttype="custom" o:connectlocs="0,1108;0,2821" o:connectangles="0,0"/>
              </v:shape>
              <v:shape id="Freeform 5" o:spid="_x0000_s1030" style="position:absolute;left:857;top:2817;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" path="m,l1976,e" filled="f" strokecolor="#d9d9d9" strokeweight=".5pt">
                <v:path arrowok="t" o:connecttype="custom" o:connectlocs="0,0;1976,0" o:connectangles="0,0"/>
              </v:shape>
              <v:shape id="Freeform 6" o:spid="_x0000_s1031" style="position:absolute;left:2837;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" path="m,l,1713e" filled="f" strokecolor="#d9d9d9" strokeweight=".5pt">
                <v:path arrowok="t" o:connecttype="custom" o:connectlocs="0,1108;0,2821" o:connectangles="0,0"/>
              </v:shape>
              <v:shape id="Freeform 7" o:spid="_x0000_s1032" style="position:absolute;left:2841;top:2817;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" path="m,l8359,e" filled="f" strokecolor="#d9d9d9" strokeweight=".5pt">
                <v:path arrowok="t" o:connecttype="custom" o:connectlocs="0,0;8359,0" o:connectangles="0,0"/>
              </v:shape>
              <v:shape id="Freeform 8" o:spid="_x0000_s1033" style="position:absolute;left:11204;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" path="m,l,1713e" filled="f" strokecolor="#d9d9d9" strokeweight=".5pt">
                <v:path arrowok="t" o:connecttype="custom" o:connectlocs="0,1108;0,2821" o:connectangles="0,0"/>
              </v:shape>
              <w10:wrap anchorx="page" anchory="page"/>
            </v:group>
          </w:pict>
        </mc:Fallback>
      </mc:AlternateContent>
    </w:r>
  </w:p>
  <w:p w14:paraId="3D7E0353" w14:textId="271AD13F" w:rsidR="00B66BA4" w:rsidRPr="007935F8" w:rsidRDefault="007935F8" w:rsidP="007935F8">
    <w:pPr>
      <w:spacing w:line="276" w:lineRule="auto"/>
      <w:ind w:left="1620" w:right="-203"/>
      <w:jc w:val="center"/>
      <w:rPr>
        <w:rFonts w:ascii="Cambria" w:eastAsia="Tw Cen MT Condensed Extra Bold" w:hAnsi="Cambria" w:cs="Tw Cen MT Condensed Extra Bold"/>
        <w:b/>
        <w:bCs/>
        <w:sz w:val="28"/>
        <w:szCs w:val="28"/>
      </w:rPr>
    </w:pPr>
    <w:r w:rsidRPr="009A3519">
      <w:rPr>
        <w:rFonts w:ascii="Cambria" w:eastAsia="Tw Cen MT Condensed Extra Bold" w:hAnsi="Cambria" w:cs="Tw Cen MT Condensed Extra Bold"/>
        <w:b/>
        <w:bCs/>
        <w:sz w:val="28"/>
        <w:szCs w:val="28"/>
      </w:rPr>
      <w:t>Journal of Advanced Sciences and Mathematics Education</w:t>
    </w:r>
  </w:p>
  <w:p w14:paraId="265265F0" w14:textId="14BED36C" w:rsidR="00B66BA4" w:rsidRDefault="00B66BA4" w:rsidP="006654C5">
    <w:pPr>
      <w:spacing w:before="29"/>
      <w:ind w:left="4253" w:right="2407"/>
      <w:jc w:val="center"/>
      <w:rPr>
        <w:rFonts w:ascii="Cambria" w:eastAsia="Cambria" w:hAnsi="Cambria" w:cs="Cambria"/>
        <w:sz w:val="22"/>
        <w:szCs w:val="22"/>
      </w:rPr>
    </w:pPr>
    <w:r>
      <w:rPr>
        <w:rFonts w:ascii="Cambria" w:eastAsia="Cambria" w:hAnsi="Cambria" w:cs="Cambria"/>
        <w:b/>
        <w:sz w:val="22"/>
        <w:szCs w:val="22"/>
      </w:rPr>
      <w:t>V</w:t>
    </w:r>
    <w:r>
      <w:rPr>
        <w:rFonts w:ascii="Cambria" w:eastAsia="Cambria" w:hAnsi="Cambria" w:cs="Cambria"/>
        <w:b/>
        <w:spacing w:val="-1"/>
        <w:sz w:val="22"/>
        <w:szCs w:val="22"/>
      </w:rPr>
      <w:t>o</w:t>
    </w:r>
    <w:r>
      <w:rPr>
        <w:rFonts w:ascii="Cambria" w:eastAsia="Cambria" w:hAnsi="Cambria" w:cs="Cambria"/>
        <w:b/>
        <w:sz w:val="22"/>
        <w:szCs w:val="22"/>
      </w:rPr>
      <w:t>l</w:t>
    </w:r>
    <w:r>
      <w:rPr>
        <w:rFonts w:ascii="Cambria" w:eastAsia="Cambria" w:hAnsi="Cambria" w:cs="Cambria"/>
        <w:b/>
        <w:spacing w:val="1"/>
        <w:sz w:val="22"/>
        <w:szCs w:val="22"/>
      </w:rPr>
      <w:t>u</w:t>
    </w:r>
    <w:r>
      <w:rPr>
        <w:rFonts w:ascii="Cambria" w:eastAsia="Cambria" w:hAnsi="Cambria" w:cs="Cambria"/>
        <w:b/>
        <w:sz w:val="22"/>
        <w:szCs w:val="22"/>
      </w:rPr>
      <w:t xml:space="preserve">me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w:t>
    </w:r>
    <w:r>
      <w:rPr>
        <w:rFonts w:ascii="Cambria" w:eastAsia="Cambria" w:hAnsi="Cambria" w:cs="Cambria"/>
        <w:b/>
        <w:spacing w:val="-1"/>
        <w:sz w:val="22"/>
        <w:szCs w:val="22"/>
      </w:rPr>
      <w:t>Iss</w:t>
    </w:r>
    <w:r>
      <w:rPr>
        <w:rFonts w:ascii="Cambria" w:eastAsia="Cambria" w:hAnsi="Cambria" w:cs="Cambria"/>
        <w:b/>
        <w:sz w:val="22"/>
        <w:szCs w:val="22"/>
      </w:rPr>
      <w:t xml:space="preserve">ue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xx</w:t>
    </w:r>
    <w:r>
      <w:rPr>
        <w:rFonts w:ascii="Cambria" w:eastAsia="Cambria" w:hAnsi="Cambria" w:cs="Cambria"/>
        <w:b/>
        <w:spacing w:val="2"/>
        <w:sz w:val="22"/>
        <w:szCs w:val="22"/>
      </w:rPr>
      <w:t xml:space="preserve"> </w:t>
    </w:r>
    <w:r>
      <w:rPr>
        <w:rFonts w:ascii="Cambria" w:eastAsia="Cambria" w:hAnsi="Cambria" w:cs="Cambria"/>
        <w:b/>
        <w:sz w:val="22"/>
        <w:szCs w:val="22"/>
      </w:rPr>
      <w:t>-</w:t>
    </w:r>
    <w:r>
      <w:rPr>
        <w:rFonts w:ascii="Cambria" w:eastAsia="Cambria" w:hAnsi="Cambria" w:cs="Cambria"/>
        <w:b/>
        <w:spacing w:val="-2"/>
        <w:sz w:val="22"/>
        <w:szCs w:val="22"/>
      </w:rPr>
      <w:t>xx</w:t>
    </w:r>
    <w:r>
      <w:rPr>
        <w:rFonts w:ascii="Cambria" w:eastAsia="Cambria" w:hAnsi="Cambria" w:cs="Cambria"/>
        <w:b/>
        <w:sz w:val="22"/>
        <w:szCs w:val="22"/>
      </w:rPr>
      <w:t>.</w:t>
    </w:r>
  </w:p>
  <w:p w14:paraId="421D7969" w14:textId="77777777" w:rsidR="00B66BA4" w:rsidRDefault="00B66BA4" w:rsidP="006654C5">
    <w:pPr>
      <w:spacing w:line="220" w:lineRule="exact"/>
      <w:ind w:left="4678" w:right="-2"/>
      <w:rPr>
        <w:rFonts w:ascii="Cambria" w:eastAsia="Cambria" w:hAnsi="Cambria" w:cs="Cambria"/>
        <w:sz w:val="20"/>
        <w:szCs w:val="20"/>
      </w:rPr>
    </w:pPr>
    <w:r>
      <w:rPr>
        <w:rFonts w:ascii="Cambria" w:eastAsia="Cambria" w:hAnsi="Cambria" w:cs="Cambria"/>
        <w:spacing w:val="-1"/>
        <w:sz w:val="20"/>
        <w:szCs w:val="20"/>
      </w:rPr>
      <w:t>e_I</w:t>
    </w:r>
    <w:r>
      <w:rPr>
        <w:rFonts w:ascii="Cambria" w:eastAsia="Cambria" w:hAnsi="Cambria" w:cs="Cambria"/>
        <w:spacing w:val="1"/>
        <w:sz w:val="20"/>
        <w:szCs w:val="20"/>
      </w:rPr>
      <w:t>SS</w:t>
    </w:r>
    <w:r>
      <w:rPr>
        <w:rFonts w:ascii="Cambria" w:eastAsia="Cambria" w:hAnsi="Cambria" w:cs="Cambria"/>
        <w:sz w:val="20"/>
        <w:szCs w:val="20"/>
      </w:rPr>
      <w:t>N:</w:t>
    </w:r>
    <w:r>
      <w:rPr>
        <w:rFonts w:ascii="Cambria" w:eastAsia="Cambria" w:hAnsi="Cambria" w:cs="Cambria"/>
        <w:spacing w:val="-1"/>
        <w:sz w:val="20"/>
        <w:szCs w:val="20"/>
      </w:rPr>
      <w:t xml:space="preserve"> </w:t>
    </w:r>
    <w:r>
      <w:rPr>
        <w:rFonts w:ascii="Cambria" w:eastAsia="Cambria" w:hAnsi="Cambria" w:cs="Cambria"/>
        <w:spacing w:val="1"/>
        <w:sz w:val="20"/>
        <w:szCs w:val="20"/>
      </w:rPr>
      <w:t>2798</w:t>
    </w:r>
    <w:r>
      <w:rPr>
        <w:rFonts w:ascii="Cambria" w:eastAsia="Cambria" w:hAnsi="Cambria" w:cs="Cambria"/>
        <w:spacing w:val="2"/>
        <w:sz w:val="20"/>
        <w:szCs w:val="20"/>
      </w:rPr>
      <w:t>-</w:t>
    </w:r>
    <w:r>
      <w:rPr>
        <w:rFonts w:ascii="Cambria" w:eastAsia="Cambria" w:hAnsi="Cambria" w:cs="Cambria"/>
        <w:spacing w:val="1"/>
        <w:sz w:val="20"/>
        <w:szCs w:val="20"/>
      </w:rPr>
      <w:t>2351</w:t>
    </w:r>
  </w:p>
  <w:p w14:paraId="6DB86AAB" w14:textId="5B2D04E7" w:rsidR="0065620B" w:rsidRPr="00B66BA4" w:rsidRDefault="00F41EA2" w:rsidP="006654C5">
    <w:pPr>
      <w:spacing w:line="220" w:lineRule="exact"/>
      <w:ind w:left="2880" w:right="-2" w:firstLine="97"/>
      <w:rPr>
        <w:rFonts w:ascii="Cambria" w:eastAsia="Cambria" w:hAnsi="Cambria" w:cs="Cambria"/>
        <w:sz w:val="20"/>
        <w:szCs w:val="20"/>
      </w:rPr>
    </w:pPr>
    <w:hyperlink r:id="rId2" w:history="1">
      <w:r w:rsidR="00B66BA4" w:rsidRPr="00B66BA4">
        <w:rPr>
          <w:rStyle w:val="Hyperlink"/>
          <w:rFonts w:ascii="Cambria" w:eastAsia="Cambria" w:hAnsi="Cambria" w:cs="Cambria"/>
          <w:color w:val="auto"/>
          <w:sz w:val="20"/>
          <w:szCs w:val="20"/>
          <w:u w:val="none"/>
        </w:rPr>
        <w:t>https://www.journal.foundae.com/index.php/oler/index</w:t>
      </w:r>
    </w:hyperlink>
  </w:p>
  <w:p w14:paraId="6DB976E0" w14:textId="77777777" w:rsidR="00B66BA4" w:rsidRPr="00B66BA4" w:rsidRDefault="00B66BA4" w:rsidP="00B66BA4">
    <w:pPr>
      <w:spacing w:line="220" w:lineRule="exact"/>
      <w:ind w:left="2880" w:right="-2" w:firstLine="522"/>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0D"/>
    <w:rsid w:val="0002378E"/>
    <w:rsid w:val="00023B94"/>
    <w:rsid w:val="00027FCA"/>
    <w:rsid w:val="00047F0E"/>
    <w:rsid w:val="0005136F"/>
    <w:rsid w:val="00063DDE"/>
    <w:rsid w:val="000709E5"/>
    <w:rsid w:val="00075DC8"/>
    <w:rsid w:val="00081ED4"/>
    <w:rsid w:val="00090D77"/>
    <w:rsid w:val="000A25AF"/>
    <w:rsid w:val="000A7B3C"/>
    <w:rsid w:val="000C6606"/>
    <w:rsid w:val="000E0895"/>
    <w:rsid w:val="000E1BEE"/>
    <w:rsid w:val="000E22C3"/>
    <w:rsid w:val="000F2A64"/>
    <w:rsid w:val="000F5D99"/>
    <w:rsid w:val="00106286"/>
    <w:rsid w:val="0011151D"/>
    <w:rsid w:val="00131151"/>
    <w:rsid w:val="001351BA"/>
    <w:rsid w:val="00135709"/>
    <w:rsid w:val="00141CB1"/>
    <w:rsid w:val="001435F8"/>
    <w:rsid w:val="001504C5"/>
    <w:rsid w:val="00160D61"/>
    <w:rsid w:val="001616FF"/>
    <w:rsid w:val="00164EF0"/>
    <w:rsid w:val="001655D2"/>
    <w:rsid w:val="001A0B9C"/>
    <w:rsid w:val="001A0CE5"/>
    <w:rsid w:val="001B20C5"/>
    <w:rsid w:val="001B70F0"/>
    <w:rsid w:val="001C07EA"/>
    <w:rsid w:val="001C2D68"/>
    <w:rsid w:val="001C475A"/>
    <w:rsid w:val="001C5195"/>
    <w:rsid w:val="001D02C5"/>
    <w:rsid w:val="001F440A"/>
    <w:rsid w:val="0020218D"/>
    <w:rsid w:val="00255F44"/>
    <w:rsid w:val="002565FF"/>
    <w:rsid w:val="00257495"/>
    <w:rsid w:val="00284078"/>
    <w:rsid w:val="002939AF"/>
    <w:rsid w:val="002A6CB5"/>
    <w:rsid w:val="002A7FFA"/>
    <w:rsid w:val="002C20B4"/>
    <w:rsid w:val="002D7AB8"/>
    <w:rsid w:val="002E39C1"/>
    <w:rsid w:val="002E7866"/>
    <w:rsid w:val="002F25F8"/>
    <w:rsid w:val="002F6BE9"/>
    <w:rsid w:val="003079C2"/>
    <w:rsid w:val="0032104D"/>
    <w:rsid w:val="003211B0"/>
    <w:rsid w:val="00321687"/>
    <w:rsid w:val="00331F01"/>
    <w:rsid w:val="00340409"/>
    <w:rsid w:val="00346FBE"/>
    <w:rsid w:val="0035076D"/>
    <w:rsid w:val="003563D3"/>
    <w:rsid w:val="003644BF"/>
    <w:rsid w:val="00374001"/>
    <w:rsid w:val="00397186"/>
    <w:rsid w:val="003A254F"/>
    <w:rsid w:val="003B1656"/>
    <w:rsid w:val="003B5724"/>
    <w:rsid w:val="003C30B2"/>
    <w:rsid w:val="003D1829"/>
    <w:rsid w:val="003D7CAF"/>
    <w:rsid w:val="003E34FE"/>
    <w:rsid w:val="003E41CD"/>
    <w:rsid w:val="003F0AB8"/>
    <w:rsid w:val="00404622"/>
    <w:rsid w:val="00411B60"/>
    <w:rsid w:val="00414CD2"/>
    <w:rsid w:val="0041547D"/>
    <w:rsid w:val="00426231"/>
    <w:rsid w:val="00440FD7"/>
    <w:rsid w:val="00451E2D"/>
    <w:rsid w:val="00465197"/>
    <w:rsid w:val="00467C43"/>
    <w:rsid w:val="004750A2"/>
    <w:rsid w:val="00486A43"/>
    <w:rsid w:val="00496C0A"/>
    <w:rsid w:val="004A3B00"/>
    <w:rsid w:val="004B3307"/>
    <w:rsid w:val="004D194B"/>
    <w:rsid w:val="004D3C04"/>
    <w:rsid w:val="004D6D36"/>
    <w:rsid w:val="004E422B"/>
    <w:rsid w:val="004F5D25"/>
    <w:rsid w:val="005074BE"/>
    <w:rsid w:val="00513E63"/>
    <w:rsid w:val="0051703E"/>
    <w:rsid w:val="0052576E"/>
    <w:rsid w:val="005269F3"/>
    <w:rsid w:val="00527B0D"/>
    <w:rsid w:val="005374DA"/>
    <w:rsid w:val="00545671"/>
    <w:rsid w:val="00555785"/>
    <w:rsid w:val="00557090"/>
    <w:rsid w:val="0057157D"/>
    <w:rsid w:val="00577092"/>
    <w:rsid w:val="00586847"/>
    <w:rsid w:val="005908EF"/>
    <w:rsid w:val="005A526D"/>
    <w:rsid w:val="005A61E1"/>
    <w:rsid w:val="005B1627"/>
    <w:rsid w:val="005C4C1E"/>
    <w:rsid w:val="005E0DDC"/>
    <w:rsid w:val="005E154F"/>
    <w:rsid w:val="005F4420"/>
    <w:rsid w:val="00615E0F"/>
    <w:rsid w:val="00616EE6"/>
    <w:rsid w:val="00632356"/>
    <w:rsid w:val="00632E27"/>
    <w:rsid w:val="00633376"/>
    <w:rsid w:val="00642202"/>
    <w:rsid w:val="0064419E"/>
    <w:rsid w:val="00645DB4"/>
    <w:rsid w:val="00650EC7"/>
    <w:rsid w:val="0065620B"/>
    <w:rsid w:val="006654C5"/>
    <w:rsid w:val="00673D40"/>
    <w:rsid w:val="00680A58"/>
    <w:rsid w:val="00685CF5"/>
    <w:rsid w:val="00686A31"/>
    <w:rsid w:val="006A7F67"/>
    <w:rsid w:val="006B1B59"/>
    <w:rsid w:val="006C77C9"/>
    <w:rsid w:val="006E1F61"/>
    <w:rsid w:val="006F12F3"/>
    <w:rsid w:val="00701D30"/>
    <w:rsid w:val="007063FF"/>
    <w:rsid w:val="0070706E"/>
    <w:rsid w:val="007222F2"/>
    <w:rsid w:val="007237D6"/>
    <w:rsid w:val="00726010"/>
    <w:rsid w:val="007260AA"/>
    <w:rsid w:val="00726539"/>
    <w:rsid w:val="00746718"/>
    <w:rsid w:val="007473C7"/>
    <w:rsid w:val="00750EF3"/>
    <w:rsid w:val="00753222"/>
    <w:rsid w:val="00755763"/>
    <w:rsid w:val="00762761"/>
    <w:rsid w:val="0076405A"/>
    <w:rsid w:val="007661B6"/>
    <w:rsid w:val="00767FDD"/>
    <w:rsid w:val="00770C3F"/>
    <w:rsid w:val="0078203C"/>
    <w:rsid w:val="00785D24"/>
    <w:rsid w:val="007935F8"/>
    <w:rsid w:val="007C1949"/>
    <w:rsid w:val="007D3B16"/>
    <w:rsid w:val="007E0F5C"/>
    <w:rsid w:val="007F4B25"/>
    <w:rsid w:val="008023DF"/>
    <w:rsid w:val="008033B2"/>
    <w:rsid w:val="00814719"/>
    <w:rsid w:val="00833EB9"/>
    <w:rsid w:val="008406D3"/>
    <w:rsid w:val="008422CB"/>
    <w:rsid w:val="00845460"/>
    <w:rsid w:val="00845E6F"/>
    <w:rsid w:val="00850C56"/>
    <w:rsid w:val="008513F4"/>
    <w:rsid w:val="00852C28"/>
    <w:rsid w:val="008547D2"/>
    <w:rsid w:val="00872FEE"/>
    <w:rsid w:val="00874BB2"/>
    <w:rsid w:val="008850E1"/>
    <w:rsid w:val="008965CB"/>
    <w:rsid w:val="00897492"/>
    <w:rsid w:val="008C5BBF"/>
    <w:rsid w:val="008C65A0"/>
    <w:rsid w:val="008D0A7D"/>
    <w:rsid w:val="008D6B0E"/>
    <w:rsid w:val="008E07DF"/>
    <w:rsid w:val="008E5E38"/>
    <w:rsid w:val="00900B02"/>
    <w:rsid w:val="00904C2C"/>
    <w:rsid w:val="009058AB"/>
    <w:rsid w:val="00912348"/>
    <w:rsid w:val="00913E00"/>
    <w:rsid w:val="00914284"/>
    <w:rsid w:val="009306DD"/>
    <w:rsid w:val="00940822"/>
    <w:rsid w:val="00940854"/>
    <w:rsid w:val="009418DF"/>
    <w:rsid w:val="00964511"/>
    <w:rsid w:val="00965D4A"/>
    <w:rsid w:val="0096646E"/>
    <w:rsid w:val="00975B71"/>
    <w:rsid w:val="009811EB"/>
    <w:rsid w:val="009A46EF"/>
    <w:rsid w:val="009B7305"/>
    <w:rsid w:val="009C02E7"/>
    <w:rsid w:val="009C42ED"/>
    <w:rsid w:val="009C7F74"/>
    <w:rsid w:val="009F1359"/>
    <w:rsid w:val="009F2E32"/>
    <w:rsid w:val="00A00098"/>
    <w:rsid w:val="00A0178E"/>
    <w:rsid w:val="00A01DAD"/>
    <w:rsid w:val="00A21776"/>
    <w:rsid w:val="00A32E71"/>
    <w:rsid w:val="00A37FE3"/>
    <w:rsid w:val="00A43F7F"/>
    <w:rsid w:val="00A5426A"/>
    <w:rsid w:val="00A60626"/>
    <w:rsid w:val="00A60BA2"/>
    <w:rsid w:val="00A63EF5"/>
    <w:rsid w:val="00A97F11"/>
    <w:rsid w:val="00AA756F"/>
    <w:rsid w:val="00AB2290"/>
    <w:rsid w:val="00AC3C43"/>
    <w:rsid w:val="00AD38EA"/>
    <w:rsid w:val="00AD738A"/>
    <w:rsid w:val="00AD7F53"/>
    <w:rsid w:val="00AE54FC"/>
    <w:rsid w:val="00AE6E51"/>
    <w:rsid w:val="00AE7616"/>
    <w:rsid w:val="00AF31D3"/>
    <w:rsid w:val="00AF6ABA"/>
    <w:rsid w:val="00B055C4"/>
    <w:rsid w:val="00B07EF5"/>
    <w:rsid w:val="00B107DB"/>
    <w:rsid w:val="00B12E42"/>
    <w:rsid w:val="00B27E0D"/>
    <w:rsid w:val="00B35D54"/>
    <w:rsid w:val="00B425A2"/>
    <w:rsid w:val="00B56ECF"/>
    <w:rsid w:val="00B66BA4"/>
    <w:rsid w:val="00B66F11"/>
    <w:rsid w:val="00B738D1"/>
    <w:rsid w:val="00BA75BF"/>
    <w:rsid w:val="00BC1128"/>
    <w:rsid w:val="00BC1A11"/>
    <w:rsid w:val="00BC1E49"/>
    <w:rsid w:val="00BC4AC6"/>
    <w:rsid w:val="00BC709D"/>
    <w:rsid w:val="00BD4D72"/>
    <w:rsid w:val="00BD5AA2"/>
    <w:rsid w:val="00BD7FD8"/>
    <w:rsid w:val="00BE3746"/>
    <w:rsid w:val="00BE7840"/>
    <w:rsid w:val="00BF2553"/>
    <w:rsid w:val="00BF3591"/>
    <w:rsid w:val="00C12A14"/>
    <w:rsid w:val="00C24C21"/>
    <w:rsid w:val="00C26048"/>
    <w:rsid w:val="00C27001"/>
    <w:rsid w:val="00C345D8"/>
    <w:rsid w:val="00C36DEE"/>
    <w:rsid w:val="00C477CF"/>
    <w:rsid w:val="00C51701"/>
    <w:rsid w:val="00C63201"/>
    <w:rsid w:val="00C667E9"/>
    <w:rsid w:val="00C814FF"/>
    <w:rsid w:val="00C86C3B"/>
    <w:rsid w:val="00C9698F"/>
    <w:rsid w:val="00C97897"/>
    <w:rsid w:val="00C97E59"/>
    <w:rsid w:val="00CA222F"/>
    <w:rsid w:val="00CB1C8E"/>
    <w:rsid w:val="00CB524E"/>
    <w:rsid w:val="00CC0D0A"/>
    <w:rsid w:val="00CD1818"/>
    <w:rsid w:val="00CD55F0"/>
    <w:rsid w:val="00CE4416"/>
    <w:rsid w:val="00CF0BF3"/>
    <w:rsid w:val="00CF6366"/>
    <w:rsid w:val="00D00460"/>
    <w:rsid w:val="00D10035"/>
    <w:rsid w:val="00D118FD"/>
    <w:rsid w:val="00D11AED"/>
    <w:rsid w:val="00D14025"/>
    <w:rsid w:val="00D16D64"/>
    <w:rsid w:val="00D2402E"/>
    <w:rsid w:val="00D273B6"/>
    <w:rsid w:val="00D46156"/>
    <w:rsid w:val="00D462DE"/>
    <w:rsid w:val="00D62C45"/>
    <w:rsid w:val="00D66E18"/>
    <w:rsid w:val="00D66EA5"/>
    <w:rsid w:val="00D67141"/>
    <w:rsid w:val="00D84F36"/>
    <w:rsid w:val="00D935B0"/>
    <w:rsid w:val="00DC488A"/>
    <w:rsid w:val="00DC72D7"/>
    <w:rsid w:val="00DD483D"/>
    <w:rsid w:val="00DE740A"/>
    <w:rsid w:val="00E00FD9"/>
    <w:rsid w:val="00E01471"/>
    <w:rsid w:val="00E04E38"/>
    <w:rsid w:val="00E07607"/>
    <w:rsid w:val="00E22D6C"/>
    <w:rsid w:val="00E277C3"/>
    <w:rsid w:val="00E279E2"/>
    <w:rsid w:val="00E3121E"/>
    <w:rsid w:val="00E41128"/>
    <w:rsid w:val="00E4353B"/>
    <w:rsid w:val="00E47103"/>
    <w:rsid w:val="00E516AF"/>
    <w:rsid w:val="00E51FD1"/>
    <w:rsid w:val="00E55CC3"/>
    <w:rsid w:val="00E55DCA"/>
    <w:rsid w:val="00E6492B"/>
    <w:rsid w:val="00E70E02"/>
    <w:rsid w:val="00E7112B"/>
    <w:rsid w:val="00E825BF"/>
    <w:rsid w:val="00E862C9"/>
    <w:rsid w:val="00E86DC2"/>
    <w:rsid w:val="00E91C7D"/>
    <w:rsid w:val="00EA1E0D"/>
    <w:rsid w:val="00EA6099"/>
    <w:rsid w:val="00EB4B17"/>
    <w:rsid w:val="00EB6882"/>
    <w:rsid w:val="00EB6FCA"/>
    <w:rsid w:val="00EB7073"/>
    <w:rsid w:val="00F0147A"/>
    <w:rsid w:val="00F0474D"/>
    <w:rsid w:val="00F13970"/>
    <w:rsid w:val="00F17602"/>
    <w:rsid w:val="00F17E42"/>
    <w:rsid w:val="00F261B9"/>
    <w:rsid w:val="00F3424D"/>
    <w:rsid w:val="00F40BD9"/>
    <w:rsid w:val="00F41EA2"/>
    <w:rsid w:val="00F42600"/>
    <w:rsid w:val="00F443DA"/>
    <w:rsid w:val="00F469FA"/>
    <w:rsid w:val="00F52E62"/>
    <w:rsid w:val="00F56648"/>
    <w:rsid w:val="00F62987"/>
    <w:rsid w:val="00F62EA6"/>
    <w:rsid w:val="00F6341A"/>
    <w:rsid w:val="00F649B2"/>
    <w:rsid w:val="00F71DE8"/>
    <w:rsid w:val="00F934D3"/>
    <w:rsid w:val="00F96250"/>
    <w:rsid w:val="00FB52BC"/>
    <w:rsid w:val="00FB7B63"/>
    <w:rsid w:val="00FC5B05"/>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7BF59"/>
  <w15:docId w15:val="{8FC7B3A3-A3DA-4D8A-AD76-CB6E8E81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pPr>
      <w:spacing w:line="480" w:lineRule="auto"/>
      <w:ind w:left="720" w:hanging="720"/>
    </w:pPr>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oler/index"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Sheet1!$A$4</c:f>
              <c:strCache>
                <c:ptCount val="1"/>
                <c:pt idx="0">
                  <c:v>STEM</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mbria" panose="020405030504060302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Sheet1!$B$3:$C$3</c:f>
              <c:strCache>
                <c:ptCount val="2"/>
                <c:pt idx="0">
                  <c:v>Female</c:v>
                </c:pt>
                <c:pt idx="1">
                  <c:v>Male</c:v>
                </c:pt>
              </c:strCache>
            </c:strRef>
          </c:cat>
          <c:val>
            <c:numRef>
              <c:f>Sheet1!$B$4:$C$4</c:f>
              <c:numCache>
                <c:formatCode>0.00</c:formatCode>
                <c:ptCount val="2"/>
                <c:pt idx="0">
                  <c:v>80.3</c:v>
                </c:pt>
                <c:pt idx="1">
                  <c:v>63.7</c:v>
                </c:pt>
              </c:numCache>
            </c:numRef>
          </c:val>
          <c:extLst>
            <c:ext xmlns:c16="http://schemas.microsoft.com/office/drawing/2014/chart" uri="{C3380CC4-5D6E-409C-BE32-E72D297353CC}">
              <c16:uniqueId val="{00000000-EF74-4EDB-8933-928759D2C152}"/>
            </c:ext>
          </c:extLst>
        </c:ser>
        <c:ser>
          <c:idx val="1"/>
          <c:order val="1"/>
          <c:tx>
            <c:strRef>
              <c:f>Sheet1!$A$5</c:f>
              <c:strCache>
                <c:ptCount val="1"/>
                <c:pt idx="0">
                  <c:v>Conventional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Cambria" panose="020405030504060302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Sheet1!$B$3:$C$3</c:f>
              <c:strCache>
                <c:ptCount val="2"/>
                <c:pt idx="0">
                  <c:v>Female</c:v>
                </c:pt>
                <c:pt idx="1">
                  <c:v>Male</c:v>
                </c:pt>
              </c:strCache>
            </c:strRef>
          </c:cat>
          <c:val>
            <c:numRef>
              <c:f>Sheet1!$B$5:$C$5</c:f>
              <c:numCache>
                <c:formatCode>0.00</c:formatCode>
                <c:ptCount val="2"/>
                <c:pt idx="0">
                  <c:v>73.209999999999994</c:v>
                </c:pt>
                <c:pt idx="1">
                  <c:v>57.04</c:v>
                </c:pt>
              </c:numCache>
            </c:numRef>
          </c:val>
          <c:extLst>
            <c:ext xmlns:c16="http://schemas.microsoft.com/office/drawing/2014/chart" uri="{C3380CC4-5D6E-409C-BE32-E72D297353CC}">
              <c16:uniqueId val="{00000001-EF74-4EDB-8933-928759D2C152}"/>
            </c:ext>
          </c:extLst>
        </c:ser>
        <c:dLbls>
          <c:dLblPos val="outEnd"/>
          <c:showLegendKey val="0"/>
          <c:showVal val="1"/>
          <c:showCatName val="0"/>
          <c:showSerName val="0"/>
          <c:showPercent val="0"/>
          <c:showBubbleSize val="0"/>
        </c:dLbls>
        <c:gapWidth val="115"/>
        <c:overlap val="-20"/>
        <c:axId val="1377763504"/>
        <c:axId val="1377763920"/>
      </c:barChart>
      <c:catAx>
        <c:axId val="137776350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1377763920"/>
        <c:crosses val="autoZero"/>
        <c:auto val="1"/>
        <c:lblAlgn val="ctr"/>
        <c:lblOffset val="100"/>
        <c:noMultiLvlLbl val="0"/>
      </c:catAx>
      <c:valAx>
        <c:axId val="13777639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crossAx val="137776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mbria" panose="0204050305040603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latin typeface="Cambria" panose="020405030504060302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3A2D8C-2E93-44A2-A6BB-14C4AD9213F6}" type="doc">
      <dgm:prSet loTypeId="urn:microsoft.com/office/officeart/2005/8/layout/chevron1" loCatId="process" qsTypeId="urn:microsoft.com/office/officeart/2005/8/quickstyle/simple1" qsCatId="simple" csTypeId="urn:microsoft.com/office/officeart/2005/8/colors/colorful1" csCatId="colorful" phldr="1"/>
      <dgm:spPr/>
    </dgm:pt>
    <dgm:pt modelId="{AE0A36DB-9D57-4317-99C6-B834B280043F}">
      <dgm:prSet phldrT="[Text]" custT="1"/>
      <dgm:spPr/>
      <dgm:t>
        <a:bodyPr/>
        <a:lstStyle/>
        <a:p>
          <a:pPr algn="ctr"/>
          <a:r>
            <a:rPr lang="en-US" sz="1100">
              <a:latin typeface="Cambria" panose="02040503050406030204" pitchFamily="18" charset="0"/>
              <a:ea typeface="Cambria" panose="02040503050406030204" pitchFamily="18" charset="0"/>
            </a:rPr>
            <a:t>Observe</a:t>
          </a:r>
        </a:p>
      </dgm:t>
    </dgm:pt>
    <dgm:pt modelId="{88048695-3BB4-415A-9C53-CCD90441E588}" type="parTrans" cxnId="{45E68ABC-4520-4878-8561-3BE59BFE8A77}">
      <dgm:prSet/>
      <dgm:spPr/>
      <dgm:t>
        <a:bodyPr/>
        <a:lstStyle/>
        <a:p>
          <a:pPr algn="ctr"/>
          <a:endParaRPr lang="en-US" sz="1100">
            <a:latin typeface="Cambria" panose="02040503050406030204" pitchFamily="18" charset="0"/>
            <a:ea typeface="Cambria" panose="02040503050406030204" pitchFamily="18" charset="0"/>
          </a:endParaRPr>
        </a:p>
      </dgm:t>
    </dgm:pt>
    <dgm:pt modelId="{EC9313D4-BB3C-4879-A395-4B9FF614F8C5}" type="sibTrans" cxnId="{45E68ABC-4520-4878-8561-3BE59BFE8A77}">
      <dgm:prSet/>
      <dgm:spPr/>
      <dgm:t>
        <a:bodyPr/>
        <a:lstStyle/>
        <a:p>
          <a:pPr algn="ctr"/>
          <a:endParaRPr lang="en-US" sz="1100">
            <a:latin typeface="Cambria" panose="02040503050406030204" pitchFamily="18" charset="0"/>
            <a:ea typeface="Cambria" panose="02040503050406030204" pitchFamily="18" charset="0"/>
          </a:endParaRPr>
        </a:p>
      </dgm:t>
    </dgm:pt>
    <dgm:pt modelId="{7E88FBB6-01E3-4CEC-A93A-0EC913562EE2}">
      <dgm:prSet phldrT="[Text]" custT="1"/>
      <dgm:spPr/>
      <dgm:t>
        <a:bodyPr/>
        <a:lstStyle/>
        <a:p>
          <a:pPr algn="ctr"/>
          <a:r>
            <a:rPr lang="en-US" sz="1100">
              <a:latin typeface="Cambria" panose="02040503050406030204" pitchFamily="18" charset="0"/>
              <a:ea typeface="Cambria" panose="02040503050406030204" pitchFamily="18" charset="0"/>
            </a:rPr>
            <a:t>New Idea</a:t>
          </a:r>
        </a:p>
      </dgm:t>
    </dgm:pt>
    <dgm:pt modelId="{717602EA-01CA-454D-9435-DBB6C701B57D}" type="parTrans" cxnId="{5D750320-6A1F-45C1-AE2A-DFFC2A7F3F7B}">
      <dgm:prSet/>
      <dgm:spPr/>
      <dgm:t>
        <a:bodyPr/>
        <a:lstStyle/>
        <a:p>
          <a:pPr algn="ctr"/>
          <a:endParaRPr lang="en-US" sz="1100">
            <a:latin typeface="Cambria" panose="02040503050406030204" pitchFamily="18" charset="0"/>
            <a:ea typeface="Cambria" panose="02040503050406030204" pitchFamily="18" charset="0"/>
          </a:endParaRPr>
        </a:p>
      </dgm:t>
    </dgm:pt>
    <dgm:pt modelId="{67C5C020-89DF-4B75-B62A-3244552B740B}" type="sibTrans" cxnId="{5D750320-6A1F-45C1-AE2A-DFFC2A7F3F7B}">
      <dgm:prSet/>
      <dgm:spPr/>
      <dgm:t>
        <a:bodyPr/>
        <a:lstStyle/>
        <a:p>
          <a:pPr algn="ctr"/>
          <a:endParaRPr lang="en-US" sz="1100">
            <a:latin typeface="Cambria" panose="02040503050406030204" pitchFamily="18" charset="0"/>
            <a:ea typeface="Cambria" panose="02040503050406030204" pitchFamily="18" charset="0"/>
          </a:endParaRPr>
        </a:p>
      </dgm:t>
    </dgm:pt>
    <dgm:pt modelId="{0AF6A1E1-4DC5-4B7B-9AC4-CE9F31EFDD34}">
      <dgm:prSet phldrT="[Text]" custT="1"/>
      <dgm:spPr/>
      <dgm:t>
        <a:bodyPr/>
        <a:lstStyle/>
        <a:p>
          <a:pPr algn="ctr"/>
          <a:r>
            <a:rPr lang="en-US" sz="1100">
              <a:latin typeface="Cambria" panose="02040503050406030204" pitchFamily="18" charset="0"/>
              <a:ea typeface="Cambria" panose="02040503050406030204" pitchFamily="18" charset="0"/>
            </a:rPr>
            <a:t>Innovation</a:t>
          </a:r>
        </a:p>
      </dgm:t>
    </dgm:pt>
    <dgm:pt modelId="{9832A727-5EDE-498E-9597-94FFAB5974DA}" type="parTrans" cxnId="{4B9E464D-3195-495E-B60C-CA83AF460601}">
      <dgm:prSet/>
      <dgm:spPr/>
      <dgm:t>
        <a:bodyPr/>
        <a:lstStyle/>
        <a:p>
          <a:pPr algn="ctr"/>
          <a:endParaRPr lang="en-US" sz="1100">
            <a:latin typeface="Cambria" panose="02040503050406030204" pitchFamily="18" charset="0"/>
            <a:ea typeface="Cambria" panose="02040503050406030204" pitchFamily="18" charset="0"/>
          </a:endParaRPr>
        </a:p>
      </dgm:t>
    </dgm:pt>
    <dgm:pt modelId="{D58E7E7E-9B16-4962-98D4-3566C83AE1F9}" type="sibTrans" cxnId="{4B9E464D-3195-495E-B60C-CA83AF460601}">
      <dgm:prSet/>
      <dgm:spPr/>
      <dgm:t>
        <a:bodyPr/>
        <a:lstStyle/>
        <a:p>
          <a:pPr algn="ctr"/>
          <a:endParaRPr lang="en-US" sz="1100">
            <a:latin typeface="Cambria" panose="02040503050406030204" pitchFamily="18" charset="0"/>
            <a:ea typeface="Cambria" panose="02040503050406030204" pitchFamily="18" charset="0"/>
          </a:endParaRPr>
        </a:p>
      </dgm:t>
    </dgm:pt>
    <dgm:pt modelId="{58368893-6047-433E-977E-F1330E0C7DF8}">
      <dgm:prSet phldrT="[Text]" custT="1"/>
      <dgm:spPr/>
      <dgm:t>
        <a:bodyPr/>
        <a:lstStyle/>
        <a:p>
          <a:pPr algn="ctr"/>
          <a:r>
            <a:rPr lang="en-US" sz="1100">
              <a:latin typeface="Cambria" panose="02040503050406030204" pitchFamily="18" charset="0"/>
              <a:ea typeface="Cambria" panose="02040503050406030204" pitchFamily="18" charset="0"/>
            </a:rPr>
            <a:t>Creativity</a:t>
          </a:r>
        </a:p>
      </dgm:t>
    </dgm:pt>
    <dgm:pt modelId="{2771D7A3-E707-4E34-BC63-A701873B177E}" type="parTrans" cxnId="{10BEBFA9-2CDC-41DD-A40B-08F667C0714B}">
      <dgm:prSet/>
      <dgm:spPr/>
      <dgm:t>
        <a:bodyPr/>
        <a:lstStyle/>
        <a:p>
          <a:pPr algn="ctr"/>
          <a:endParaRPr lang="en-US" sz="1100">
            <a:latin typeface="Cambria" panose="02040503050406030204" pitchFamily="18" charset="0"/>
            <a:ea typeface="Cambria" panose="02040503050406030204" pitchFamily="18" charset="0"/>
          </a:endParaRPr>
        </a:p>
      </dgm:t>
    </dgm:pt>
    <dgm:pt modelId="{EC2FDA1F-90BD-4D86-A0F5-7B1501977CF6}" type="sibTrans" cxnId="{10BEBFA9-2CDC-41DD-A40B-08F667C0714B}">
      <dgm:prSet/>
      <dgm:spPr/>
      <dgm:t>
        <a:bodyPr/>
        <a:lstStyle/>
        <a:p>
          <a:pPr algn="ctr"/>
          <a:endParaRPr lang="en-US" sz="1100">
            <a:latin typeface="Cambria" panose="02040503050406030204" pitchFamily="18" charset="0"/>
            <a:ea typeface="Cambria" panose="02040503050406030204" pitchFamily="18" charset="0"/>
          </a:endParaRPr>
        </a:p>
      </dgm:t>
    </dgm:pt>
    <dgm:pt modelId="{28E43E1E-9FE8-4D57-BB29-05070DFD82F5}">
      <dgm:prSet phldrT="[Text]" custT="1"/>
      <dgm:spPr/>
      <dgm:t>
        <a:bodyPr/>
        <a:lstStyle/>
        <a:p>
          <a:pPr algn="ctr"/>
          <a:r>
            <a:rPr lang="en-US" sz="1100">
              <a:latin typeface="Cambria" panose="02040503050406030204" pitchFamily="18" charset="0"/>
              <a:ea typeface="Cambria" panose="02040503050406030204" pitchFamily="18" charset="0"/>
            </a:rPr>
            <a:t>Society</a:t>
          </a:r>
        </a:p>
      </dgm:t>
    </dgm:pt>
    <dgm:pt modelId="{B44C9447-8CCE-4C5B-A007-634248C8DDA8}" type="parTrans" cxnId="{293F25FD-D63D-45F3-9589-1D6537A55E8A}">
      <dgm:prSet/>
      <dgm:spPr/>
      <dgm:t>
        <a:bodyPr/>
        <a:lstStyle/>
        <a:p>
          <a:pPr algn="ctr"/>
          <a:endParaRPr lang="en-US" sz="1100">
            <a:latin typeface="Cambria" panose="02040503050406030204" pitchFamily="18" charset="0"/>
            <a:ea typeface="Cambria" panose="02040503050406030204" pitchFamily="18" charset="0"/>
          </a:endParaRPr>
        </a:p>
      </dgm:t>
    </dgm:pt>
    <dgm:pt modelId="{5B9B9D00-3119-4E32-99CF-80340F03B604}" type="sibTrans" cxnId="{293F25FD-D63D-45F3-9589-1D6537A55E8A}">
      <dgm:prSet/>
      <dgm:spPr/>
      <dgm:t>
        <a:bodyPr/>
        <a:lstStyle/>
        <a:p>
          <a:pPr algn="ctr"/>
          <a:endParaRPr lang="en-US" sz="1100">
            <a:latin typeface="Cambria" panose="02040503050406030204" pitchFamily="18" charset="0"/>
            <a:ea typeface="Cambria" panose="02040503050406030204" pitchFamily="18" charset="0"/>
          </a:endParaRPr>
        </a:p>
      </dgm:t>
    </dgm:pt>
    <dgm:pt modelId="{2D7900EB-89CA-4353-B482-722D87F22B3E}" type="pres">
      <dgm:prSet presAssocID="{353A2D8C-2E93-44A2-A6BB-14C4AD9213F6}" presName="Name0" presStyleCnt="0">
        <dgm:presLayoutVars>
          <dgm:dir/>
          <dgm:animLvl val="lvl"/>
          <dgm:resizeHandles val="exact"/>
        </dgm:presLayoutVars>
      </dgm:prSet>
      <dgm:spPr/>
    </dgm:pt>
    <dgm:pt modelId="{7323B21B-032B-4167-9F0B-413376002954}" type="pres">
      <dgm:prSet presAssocID="{AE0A36DB-9D57-4317-99C6-B834B280043F}" presName="parTxOnly" presStyleLbl="node1" presStyleIdx="0" presStyleCnt="5">
        <dgm:presLayoutVars>
          <dgm:chMax val="0"/>
          <dgm:chPref val="0"/>
          <dgm:bulletEnabled val="1"/>
        </dgm:presLayoutVars>
      </dgm:prSet>
      <dgm:spPr/>
      <dgm:t>
        <a:bodyPr/>
        <a:lstStyle/>
        <a:p>
          <a:endParaRPr lang="en-US"/>
        </a:p>
      </dgm:t>
    </dgm:pt>
    <dgm:pt modelId="{207053C9-1CB0-491E-9D64-FB3183A4353E}" type="pres">
      <dgm:prSet presAssocID="{EC9313D4-BB3C-4879-A395-4B9FF614F8C5}" presName="parTxOnlySpace" presStyleCnt="0"/>
      <dgm:spPr/>
    </dgm:pt>
    <dgm:pt modelId="{0496E9D0-B7C9-4396-93F4-46E6D4744F97}" type="pres">
      <dgm:prSet presAssocID="{7E88FBB6-01E3-4CEC-A93A-0EC913562EE2}" presName="parTxOnly" presStyleLbl="node1" presStyleIdx="1" presStyleCnt="5">
        <dgm:presLayoutVars>
          <dgm:chMax val="0"/>
          <dgm:chPref val="0"/>
          <dgm:bulletEnabled val="1"/>
        </dgm:presLayoutVars>
      </dgm:prSet>
      <dgm:spPr/>
      <dgm:t>
        <a:bodyPr/>
        <a:lstStyle/>
        <a:p>
          <a:endParaRPr lang="en-US"/>
        </a:p>
      </dgm:t>
    </dgm:pt>
    <dgm:pt modelId="{457BBA2F-F7F9-41D4-8D6A-184B96689EE7}" type="pres">
      <dgm:prSet presAssocID="{67C5C020-89DF-4B75-B62A-3244552B740B}" presName="parTxOnlySpace" presStyleCnt="0"/>
      <dgm:spPr/>
    </dgm:pt>
    <dgm:pt modelId="{41E58E05-1839-4C0B-9B8E-580DFCAA5235}" type="pres">
      <dgm:prSet presAssocID="{0AF6A1E1-4DC5-4B7B-9AC4-CE9F31EFDD34}" presName="parTxOnly" presStyleLbl="node1" presStyleIdx="2" presStyleCnt="5">
        <dgm:presLayoutVars>
          <dgm:chMax val="0"/>
          <dgm:chPref val="0"/>
          <dgm:bulletEnabled val="1"/>
        </dgm:presLayoutVars>
      </dgm:prSet>
      <dgm:spPr/>
      <dgm:t>
        <a:bodyPr/>
        <a:lstStyle/>
        <a:p>
          <a:endParaRPr lang="en-US"/>
        </a:p>
      </dgm:t>
    </dgm:pt>
    <dgm:pt modelId="{37A93057-02F4-4370-B904-F35259A3AC77}" type="pres">
      <dgm:prSet presAssocID="{D58E7E7E-9B16-4962-98D4-3566C83AE1F9}" presName="parTxOnlySpace" presStyleCnt="0"/>
      <dgm:spPr/>
    </dgm:pt>
    <dgm:pt modelId="{A0CCE409-0508-4F7C-A6B5-682C7CBD736F}" type="pres">
      <dgm:prSet presAssocID="{58368893-6047-433E-977E-F1330E0C7DF8}" presName="parTxOnly" presStyleLbl="node1" presStyleIdx="3" presStyleCnt="5">
        <dgm:presLayoutVars>
          <dgm:chMax val="0"/>
          <dgm:chPref val="0"/>
          <dgm:bulletEnabled val="1"/>
        </dgm:presLayoutVars>
      </dgm:prSet>
      <dgm:spPr/>
      <dgm:t>
        <a:bodyPr/>
        <a:lstStyle/>
        <a:p>
          <a:endParaRPr lang="en-US"/>
        </a:p>
      </dgm:t>
    </dgm:pt>
    <dgm:pt modelId="{E461EAE4-0E2F-44A1-BB11-41DDE4D0BADB}" type="pres">
      <dgm:prSet presAssocID="{EC2FDA1F-90BD-4D86-A0F5-7B1501977CF6}" presName="parTxOnlySpace" presStyleCnt="0"/>
      <dgm:spPr/>
    </dgm:pt>
    <dgm:pt modelId="{C009BE7A-884E-4607-832D-F67FC9125689}" type="pres">
      <dgm:prSet presAssocID="{28E43E1E-9FE8-4D57-BB29-05070DFD82F5}" presName="parTxOnly" presStyleLbl="node1" presStyleIdx="4" presStyleCnt="5">
        <dgm:presLayoutVars>
          <dgm:chMax val="0"/>
          <dgm:chPref val="0"/>
          <dgm:bulletEnabled val="1"/>
        </dgm:presLayoutVars>
      </dgm:prSet>
      <dgm:spPr/>
      <dgm:t>
        <a:bodyPr/>
        <a:lstStyle/>
        <a:p>
          <a:endParaRPr lang="en-US"/>
        </a:p>
      </dgm:t>
    </dgm:pt>
  </dgm:ptLst>
  <dgm:cxnLst>
    <dgm:cxn modelId="{2B2033FD-E4A2-4AE5-849F-7E11FF27D3EE}" type="presOf" srcId="{28E43E1E-9FE8-4D57-BB29-05070DFD82F5}" destId="{C009BE7A-884E-4607-832D-F67FC9125689}" srcOrd="0" destOrd="0" presId="urn:microsoft.com/office/officeart/2005/8/layout/chevron1"/>
    <dgm:cxn modelId="{49AF08D6-F706-4FD8-BB3B-57F558AF09CE}" type="presOf" srcId="{58368893-6047-433E-977E-F1330E0C7DF8}" destId="{A0CCE409-0508-4F7C-A6B5-682C7CBD736F}" srcOrd="0" destOrd="0" presId="urn:microsoft.com/office/officeart/2005/8/layout/chevron1"/>
    <dgm:cxn modelId="{B9B13476-0947-4875-BE92-1717D44CD3C7}" type="presOf" srcId="{7E88FBB6-01E3-4CEC-A93A-0EC913562EE2}" destId="{0496E9D0-B7C9-4396-93F4-46E6D4744F97}" srcOrd="0" destOrd="0" presId="urn:microsoft.com/office/officeart/2005/8/layout/chevron1"/>
    <dgm:cxn modelId="{4B9E464D-3195-495E-B60C-CA83AF460601}" srcId="{353A2D8C-2E93-44A2-A6BB-14C4AD9213F6}" destId="{0AF6A1E1-4DC5-4B7B-9AC4-CE9F31EFDD34}" srcOrd="2" destOrd="0" parTransId="{9832A727-5EDE-498E-9597-94FFAB5974DA}" sibTransId="{D58E7E7E-9B16-4962-98D4-3566C83AE1F9}"/>
    <dgm:cxn modelId="{45E68ABC-4520-4878-8561-3BE59BFE8A77}" srcId="{353A2D8C-2E93-44A2-A6BB-14C4AD9213F6}" destId="{AE0A36DB-9D57-4317-99C6-B834B280043F}" srcOrd="0" destOrd="0" parTransId="{88048695-3BB4-415A-9C53-CCD90441E588}" sibTransId="{EC9313D4-BB3C-4879-A395-4B9FF614F8C5}"/>
    <dgm:cxn modelId="{5D750320-6A1F-45C1-AE2A-DFFC2A7F3F7B}" srcId="{353A2D8C-2E93-44A2-A6BB-14C4AD9213F6}" destId="{7E88FBB6-01E3-4CEC-A93A-0EC913562EE2}" srcOrd="1" destOrd="0" parTransId="{717602EA-01CA-454D-9435-DBB6C701B57D}" sibTransId="{67C5C020-89DF-4B75-B62A-3244552B740B}"/>
    <dgm:cxn modelId="{980ADD27-DB2C-41BE-938F-2EA0E5E011B7}" type="presOf" srcId="{0AF6A1E1-4DC5-4B7B-9AC4-CE9F31EFDD34}" destId="{41E58E05-1839-4C0B-9B8E-580DFCAA5235}" srcOrd="0" destOrd="0" presId="urn:microsoft.com/office/officeart/2005/8/layout/chevron1"/>
    <dgm:cxn modelId="{10BEBFA9-2CDC-41DD-A40B-08F667C0714B}" srcId="{353A2D8C-2E93-44A2-A6BB-14C4AD9213F6}" destId="{58368893-6047-433E-977E-F1330E0C7DF8}" srcOrd="3" destOrd="0" parTransId="{2771D7A3-E707-4E34-BC63-A701873B177E}" sibTransId="{EC2FDA1F-90BD-4D86-A0F5-7B1501977CF6}"/>
    <dgm:cxn modelId="{246819FA-540C-4D58-9A57-3174D24F2F3A}" type="presOf" srcId="{AE0A36DB-9D57-4317-99C6-B834B280043F}" destId="{7323B21B-032B-4167-9F0B-413376002954}" srcOrd="0" destOrd="0" presId="urn:microsoft.com/office/officeart/2005/8/layout/chevron1"/>
    <dgm:cxn modelId="{293F25FD-D63D-45F3-9589-1D6537A55E8A}" srcId="{353A2D8C-2E93-44A2-A6BB-14C4AD9213F6}" destId="{28E43E1E-9FE8-4D57-BB29-05070DFD82F5}" srcOrd="4" destOrd="0" parTransId="{B44C9447-8CCE-4C5B-A007-634248C8DDA8}" sibTransId="{5B9B9D00-3119-4E32-99CF-80340F03B604}"/>
    <dgm:cxn modelId="{0242868B-51EB-4674-A1A3-C4755AC4141E}" type="presOf" srcId="{353A2D8C-2E93-44A2-A6BB-14C4AD9213F6}" destId="{2D7900EB-89CA-4353-B482-722D87F22B3E}" srcOrd="0" destOrd="0" presId="urn:microsoft.com/office/officeart/2005/8/layout/chevron1"/>
    <dgm:cxn modelId="{685BC0D5-15E8-4385-9FB6-A3DECDEC2828}" type="presParOf" srcId="{2D7900EB-89CA-4353-B482-722D87F22B3E}" destId="{7323B21B-032B-4167-9F0B-413376002954}" srcOrd="0" destOrd="0" presId="urn:microsoft.com/office/officeart/2005/8/layout/chevron1"/>
    <dgm:cxn modelId="{136892A8-2466-4E56-B220-A2C2231C9385}" type="presParOf" srcId="{2D7900EB-89CA-4353-B482-722D87F22B3E}" destId="{207053C9-1CB0-491E-9D64-FB3183A4353E}" srcOrd="1" destOrd="0" presId="urn:microsoft.com/office/officeart/2005/8/layout/chevron1"/>
    <dgm:cxn modelId="{222FA26D-B32C-4FC3-B7DD-574259EE6F84}" type="presParOf" srcId="{2D7900EB-89CA-4353-B482-722D87F22B3E}" destId="{0496E9D0-B7C9-4396-93F4-46E6D4744F97}" srcOrd="2" destOrd="0" presId="urn:microsoft.com/office/officeart/2005/8/layout/chevron1"/>
    <dgm:cxn modelId="{6E4C0EC2-5DBE-4569-8DA1-8E0786280B12}" type="presParOf" srcId="{2D7900EB-89CA-4353-B482-722D87F22B3E}" destId="{457BBA2F-F7F9-41D4-8D6A-184B96689EE7}" srcOrd="3" destOrd="0" presId="urn:microsoft.com/office/officeart/2005/8/layout/chevron1"/>
    <dgm:cxn modelId="{DA2C3FE0-BDB5-4D87-8AF6-E987282CB988}" type="presParOf" srcId="{2D7900EB-89CA-4353-B482-722D87F22B3E}" destId="{41E58E05-1839-4C0B-9B8E-580DFCAA5235}" srcOrd="4" destOrd="0" presId="urn:microsoft.com/office/officeart/2005/8/layout/chevron1"/>
    <dgm:cxn modelId="{E7035B07-7628-4C48-A1B2-C4841A86B22F}" type="presParOf" srcId="{2D7900EB-89CA-4353-B482-722D87F22B3E}" destId="{37A93057-02F4-4370-B904-F35259A3AC77}" srcOrd="5" destOrd="0" presId="urn:microsoft.com/office/officeart/2005/8/layout/chevron1"/>
    <dgm:cxn modelId="{79BD8052-6004-4FEE-B8AF-E57E53ACC873}" type="presParOf" srcId="{2D7900EB-89CA-4353-B482-722D87F22B3E}" destId="{A0CCE409-0508-4F7C-A6B5-682C7CBD736F}" srcOrd="6" destOrd="0" presId="urn:microsoft.com/office/officeart/2005/8/layout/chevron1"/>
    <dgm:cxn modelId="{41FAA958-339B-4848-A580-5A84429D75F5}" type="presParOf" srcId="{2D7900EB-89CA-4353-B482-722D87F22B3E}" destId="{E461EAE4-0E2F-44A1-BB11-41DDE4D0BADB}" srcOrd="7" destOrd="0" presId="urn:microsoft.com/office/officeart/2005/8/layout/chevron1"/>
    <dgm:cxn modelId="{541ADAEB-B8EB-4B1E-9295-57B0CD17A667}" type="presParOf" srcId="{2D7900EB-89CA-4353-B482-722D87F22B3E}" destId="{C009BE7A-884E-4607-832D-F67FC9125689}" srcOrd="8"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4C3FF7-5A59-4826-A4DF-D9280572BF90}" type="doc">
      <dgm:prSet loTypeId="urn:microsoft.com/office/officeart/2005/8/layout/cycle6" loCatId="relationship" qsTypeId="urn:microsoft.com/office/officeart/2005/8/quickstyle/3d1" qsCatId="3D" csTypeId="urn:microsoft.com/office/officeart/2005/8/colors/colorful3" csCatId="colorful" phldr="1"/>
      <dgm:spPr/>
      <dgm:t>
        <a:bodyPr/>
        <a:lstStyle/>
        <a:p>
          <a:endParaRPr lang="en-US"/>
        </a:p>
      </dgm:t>
    </dgm:pt>
    <dgm:pt modelId="{DFF6E973-C2DC-4F72-BABE-57761A7BFED1}">
      <dgm:prSet phldrT="[Text]" custT="1"/>
      <dgm:spPr/>
      <dgm:t>
        <a:bodyPr/>
        <a:lstStyle/>
        <a:p>
          <a:pPr algn="ctr"/>
          <a:r>
            <a:rPr lang="en-US" sz="1100">
              <a:latin typeface="Cambria" panose="02040503050406030204" pitchFamily="18" charset="0"/>
              <a:ea typeface="Cambria" panose="02040503050406030204" pitchFamily="18" charset="0"/>
            </a:rPr>
            <a:t>Interpretation</a:t>
          </a:r>
        </a:p>
      </dgm:t>
    </dgm:pt>
    <dgm:pt modelId="{E3B536E7-2CCF-47CD-8156-E948FA168155}" type="parTrans" cxnId="{E5F5338C-3E3F-4A3F-9E85-6E2505D0F826}">
      <dgm:prSet/>
      <dgm:spPr/>
      <dgm:t>
        <a:bodyPr/>
        <a:lstStyle/>
        <a:p>
          <a:pPr algn="ctr"/>
          <a:endParaRPr lang="en-US" sz="1100">
            <a:latin typeface="Cambria" panose="02040503050406030204" pitchFamily="18" charset="0"/>
            <a:ea typeface="Cambria" panose="02040503050406030204" pitchFamily="18" charset="0"/>
          </a:endParaRPr>
        </a:p>
      </dgm:t>
    </dgm:pt>
    <dgm:pt modelId="{CEDF7278-6CD4-42E9-A5CA-C91C5A70E908}" type="sibTrans" cxnId="{E5F5338C-3E3F-4A3F-9E85-6E2505D0F826}">
      <dgm:prSet/>
      <dgm:spPr/>
      <dgm:t>
        <a:bodyPr/>
        <a:lstStyle/>
        <a:p>
          <a:pPr algn="ctr"/>
          <a:endParaRPr lang="en-US" sz="1100">
            <a:latin typeface="Cambria" panose="02040503050406030204" pitchFamily="18" charset="0"/>
            <a:ea typeface="Cambria" panose="02040503050406030204" pitchFamily="18" charset="0"/>
          </a:endParaRPr>
        </a:p>
      </dgm:t>
    </dgm:pt>
    <dgm:pt modelId="{29556A5D-9522-432F-8258-2DFE139DDF85}">
      <dgm:prSet phldrT="[Text]" custT="1"/>
      <dgm:spPr/>
      <dgm:t>
        <a:bodyPr/>
        <a:lstStyle/>
        <a:p>
          <a:pPr algn="ctr"/>
          <a:r>
            <a:rPr lang="en-US" sz="1100">
              <a:latin typeface="Cambria" panose="02040503050406030204" pitchFamily="18" charset="0"/>
              <a:ea typeface="Cambria" panose="02040503050406030204" pitchFamily="18" charset="0"/>
            </a:rPr>
            <a:t>Analysis</a:t>
          </a:r>
        </a:p>
      </dgm:t>
    </dgm:pt>
    <dgm:pt modelId="{E07F2EAC-312B-446A-83BA-F7C9C7911C72}" type="parTrans" cxnId="{EC571050-8313-4096-9953-B23129A3E673}">
      <dgm:prSet/>
      <dgm:spPr/>
      <dgm:t>
        <a:bodyPr/>
        <a:lstStyle/>
        <a:p>
          <a:pPr algn="ctr"/>
          <a:endParaRPr lang="en-US" sz="1100">
            <a:latin typeface="Cambria" panose="02040503050406030204" pitchFamily="18" charset="0"/>
            <a:ea typeface="Cambria" panose="02040503050406030204" pitchFamily="18" charset="0"/>
          </a:endParaRPr>
        </a:p>
      </dgm:t>
    </dgm:pt>
    <dgm:pt modelId="{FAFCF415-8F1E-4DE7-BD3A-DB45544C7570}" type="sibTrans" cxnId="{EC571050-8313-4096-9953-B23129A3E673}">
      <dgm:prSet/>
      <dgm:spPr/>
      <dgm:t>
        <a:bodyPr/>
        <a:lstStyle/>
        <a:p>
          <a:pPr algn="ctr"/>
          <a:endParaRPr lang="en-US" sz="1100">
            <a:latin typeface="Cambria" panose="02040503050406030204" pitchFamily="18" charset="0"/>
            <a:ea typeface="Cambria" panose="02040503050406030204" pitchFamily="18" charset="0"/>
          </a:endParaRPr>
        </a:p>
      </dgm:t>
    </dgm:pt>
    <dgm:pt modelId="{D91D98B5-5B8D-4B84-ACE5-AA05536865BE}">
      <dgm:prSet phldrT="[Text]" custT="1"/>
      <dgm:spPr/>
      <dgm:t>
        <a:bodyPr/>
        <a:lstStyle/>
        <a:p>
          <a:pPr algn="ctr"/>
          <a:r>
            <a:rPr lang="en-US" sz="1100">
              <a:latin typeface="Cambria" panose="02040503050406030204" pitchFamily="18" charset="0"/>
              <a:ea typeface="Cambria" panose="02040503050406030204" pitchFamily="18" charset="0"/>
            </a:rPr>
            <a:t>Evaluation</a:t>
          </a:r>
        </a:p>
      </dgm:t>
    </dgm:pt>
    <dgm:pt modelId="{B5278D6D-BAED-49F5-AD11-F0B11F96027F}" type="parTrans" cxnId="{B95A370F-B0BB-42D4-9052-214E19C9F6EF}">
      <dgm:prSet/>
      <dgm:spPr/>
      <dgm:t>
        <a:bodyPr/>
        <a:lstStyle/>
        <a:p>
          <a:pPr algn="ctr"/>
          <a:endParaRPr lang="en-US" sz="1100">
            <a:latin typeface="Cambria" panose="02040503050406030204" pitchFamily="18" charset="0"/>
            <a:ea typeface="Cambria" panose="02040503050406030204" pitchFamily="18" charset="0"/>
          </a:endParaRPr>
        </a:p>
      </dgm:t>
    </dgm:pt>
    <dgm:pt modelId="{F9C27E81-444F-4A82-BEBC-9FFF5BF7DA83}" type="sibTrans" cxnId="{B95A370F-B0BB-42D4-9052-214E19C9F6EF}">
      <dgm:prSet/>
      <dgm:spPr/>
      <dgm:t>
        <a:bodyPr/>
        <a:lstStyle/>
        <a:p>
          <a:pPr algn="ctr"/>
          <a:endParaRPr lang="en-US" sz="1100">
            <a:latin typeface="Cambria" panose="02040503050406030204" pitchFamily="18" charset="0"/>
            <a:ea typeface="Cambria" panose="02040503050406030204" pitchFamily="18" charset="0"/>
          </a:endParaRPr>
        </a:p>
      </dgm:t>
    </dgm:pt>
    <dgm:pt modelId="{5CFECDBA-A74D-42A8-8BD1-6CB5AC4D90A2}">
      <dgm:prSet phldrT="[Text]" custT="1"/>
      <dgm:spPr/>
      <dgm:t>
        <a:bodyPr/>
        <a:lstStyle/>
        <a:p>
          <a:pPr algn="ctr"/>
          <a:r>
            <a:rPr lang="en-US" sz="1100">
              <a:latin typeface="Cambria" panose="02040503050406030204" pitchFamily="18" charset="0"/>
              <a:ea typeface="Cambria" panose="02040503050406030204" pitchFamily="18" charset="0"/>
            </a:rPr>
            <a:t>Inference</a:t>
          </a:r>
        </a:p>
      </dgm:t>
    </dgm:pt>
    <dgm:pt modelId="{B6D9DFBA-6D68-4E33-BC0B-64A8B538B888}" type="parTrans" cxnId="{D431E4A4-724B-441D-AB1B-8AF3895B5B00}">
      <dgm:prSet/>
      <dgm:spPr/>
      <dgm:t>
        <a:bodyPr/>
        <a:lstStyle/>
        <a:p>
          <a:pPr algn="ctr"/>
          <a:endParaRPr lang="en-US" sz="1100">
            <a:latin typeface="Cambria" panose="02040503050406030204" pitchFamily="18" charset="0"/>
            <a:ea typeface="Cambria" panose="02040503050406030204" pitchFamily="18" charset="0"/>
          </a:endParaRPr>
        </a:p>
      </dgm:t>
    </dgm:pt>
    <dgm:pt modelId="{523952C3-EBDF-4F58-9D66-8FF0396ADA28}" type="sibTrans" cxnId="{D431E4A4-724B-441D-AB1B-8AF3895B5B00}">
      <dgm:prSet/>
      <dgm:spPr/>
      <dgm:t>
        <a:bodyPr/>
        <a:lstStyle/>
        <a:p>
          <a:pPr algn="ctr"/>
          <a:endParaRPr lang="en-US" sz="1100">
            <a:latin typeface="Cambria" panose="02040503050406030204" pitchFamily="18" charset="0"/>
            <a:ea typeface="Cambria" panose="02040503050406030204" pitchFamily="18" charset="0"/>
          </a:endParaRPr>
        </a:p>
      </dgm:t>
    </dgm:pt>
    <dgm:pt modelId="{516CD669-6887-442B-9F9F-44437A290F39}">
      <dgm:prSet phldrT="[Text]" custT="1"/>
      <dgm:spPr/>
      <dgm:t>
        <a:bodyPr/>
        <a:lstStyle/>
        <a:p>
          <a:pPr algn="ctr"/>
          <a:r>
            <a:rPr lang="en-US" sz="1100">
              <a:latin typeface="Cambria" panose="02040503050406030204" pitchFamily="18" charset="0"/>
              <a:ea typeface="Cambria" panose="02040503050406030204" pitchFamily="18" charset="0"/>
            </a:rPr>
            <a:t>Explanation</a:t>
          </a:r>
        </a:p>
      </dgm:t>
    </dgm:pt>
    <dgm:pt modelId="{68886077-3854-45AD-933E-B6EACDD3A9AC}" type="parTrans" cxnId="{161EB3FC-A71D-4357-B0D1-2A9991EDAE04}">
      <dgm:prSet/>
      <dgm:spPr/>
      <dgm:t>
        <a:bodyPr/>
        <a:lstStyle/>
        <a:p>
          <a:pPr algn="ctr"/>
          <a:endParaRPr lang="en-US" sz="1100">
            <a:latin typeface="Cambria" panose="02040503050406030204" pitchFamily="18" charset="0"/>
            <a:ea typeface="Cambria" panose="02040503050406030204" pitchFamily="18" charset="0"/>
          </a:endParaRPr>
        </a:p>
      </dgm:t>
    </dgm:pt>
    <dgm:pt modelId="{CE2050E1-7FFD-435F-8512-F5EBA4DC20A7}" type="sibTrans" cxnId="{161EB3FC-A71D-4357-B0D1-2A9991EDAE04}">
      <dgm:prSet/>
      <dgm:spPr/>
      <dgm:t>
        <a:bodyPr/>
        <a:lstStyle/>
        <a:p>
          <a:pPr algn="ctr"/>
          <a:endParaRPr lang="en-US" sz="1100">
            <a:latin typeface="Cambria" panose="02040503050406030204" pitchFamily="18" charset="0"/>
            <a:ea typeface="Cambria" panose="02040503050406030204" pitchFamily="18" charset="0"/>
          </a:endParaRPr>
        </a:p>
      </dgm:t>
    </dgm:pt>
    <dgm:pt modelId="{A6B6600B-E9DC-4EA7-8685-FC9F375FE3C0}">
      <dgm:prSet custT="1"/>
      <dgm:spPr/>
      <dgm:t>
        <a:bodyPr/>
        <a:lstStyle/>
        <a:p>
          <a:pPr algn="ctr"/>
          <a:r>
            <a:rPr lang="en-US" sz="1100">
              <a:latin typeface="Cambria" panose="02040503050406030204" pitchFamily="18" charset="0"/>
              <a:ea typeface="Cambria" panose="02040503050406030204" pitchFamily="18" charset="0"/>
            </a:rPr>
            <a:t>Metacognition</a:t>
          </a:r>
        </a:p>
      </dgm:t>
    </dgm:pt>
    <dgm:pt modelId="{4CEFA78F-9F6C-4A1A-99CC-E848C8204081}" type="parTrans" cxnId="{1C0417F2-E467-4647-B0E0-92CDF5A56325}">
      <dgm:prSet/>
      <dgm:spPr/>
      <dgm:t>
        <a:bodyPr/>
        <a:lstStyle/>
        <a:p>
          <a:pPr algn="ctr"/>
          <a:endParaRPr lang="en-US" sz="1100">
            <a:latin typeface="Cambria" panose="02040503050406030204" pitchFamily="18" charset="0"/>
            <a:ea typeface="Cambria" panose="02040503050406030204" pitchFamily="18" charset="0"/>
          </a:endParaRPr>
        </a:p>
      </dgm:t>
    </dgm:pt>
    <dgm:pt modelId="{44D70788-525A-4439-92DD-64AD0A80A678}" type="sibTrans" cxnId="{1C0417F2-E467-4647-B0E0-92CDF5A56325}">
      <dgm:prSet/>
      <dgm:spPr/>
      <dgm:t>
        <a:bodyPr/>
        <a:lstStyle/>
        <a:p>
          <a:pPr algn="ctr"/>
          <a:endParaRPr lang="en-US" sz="1100">
            <a:latin typeface="Cambria" panose="02040503050406030204" pitchFamily="18" charset="0"/>
            <a:ea typeface="Cambria" panose="02040503050406030204" pitchFamily="18" charset="0"/>
          </a:endParaRPr>
        </a:p>
      </dgm:t>
    </dgm:pt>
    <dgm:pt modelId="{DA748E0E-DB12-436F-82BD-956B2A64A057}" type="pres">
      <dgm:prSet presAssocID="{644C3FF7-5A59-4826-A4DF-D9280572BF90}" presName="cycle" presStyleCnt="0">
        <dgm:presLayoutVars>
          <dgm:dir/>
          <dgm:resizeHandles val="exact"/>
        </dgm:presLayoutVars>
      </dgm:prSet>
      <dgm:spPr/>
      <dgm:t>
        <a:bodyPr/>
        <a:lstStyle/>
        <a:p>
          <a:endParaRPr lang="en-US"/>
        </a:p>
      </dgm:t>
    </dgm:pt>
    <dgm:pt modelId="{EEF56523-B92E-4A37-93D7-8EBB692AFF9C}" type="pres">
      <dgm:prSet presAssocID="{DFF6E973-C2DC-4F72-BABE-57761A7BFED1}" presName="node" presStyleLbl="node1" presStyleIdx="0" presStyleCnt="6" custScaleX="133839" custRadScaleRad="100092">
        <dgm:presLayoutVars>
          <dgm:bulletEnabled val="1"/>
        </dgm:presLayoutVars>
      </dgm:prSet>
      <dgm:spPr/>
      <dgm:t>
        <a:bodyPr/>
        <a:lstStyle/>
        <a:p>
          <a:endParaRPr lang="en-US"/>
        </a:p>
      </dgm:t>
    </dgm:pt>
    <dgm:pt modelId="{D58E7BE2-77CD-44BA-993F-4C42B7086A1D}" type="pres">
      <dgm:prSet presAssocID="{DFF6E973-C2DC-4F72-BABE-57761A7BFED1}" presName="spNode" presStyleCnt="0"/>
      <dgm:spPr/>
      <dgm:t>
        <a:bodyPr/>
        <a:lstStyle/>
        <a:p>
          <a:endParaRPr lang="en-US"/>
        </a:p>
      </dgm:t>
    </dgm:pt>
    <dgm:pt modelId="{0AEDD7DA-20A8-4C87-B003-FFB513456865}" type="pres">
      <dgm:prSet presAssocID="{CEDF7278-6CD4-42E9-A5CA-C91C5A70E908}" presName="sibTrans" presStyleLbl="sibTrans1D1" presStyleIdx="0" presStyleCnt="6"/>
      <dgm:spPr/>
      <dgm:t>
        <a:bodyPr/>
        <a:lstStyle/>
        <a:p>
          <a:endParaRPr lang="en-US"/>
        </a:p>
      </dgm:t>
    </dgm:pt>
    <dgm:pt modelId="{6D0CCB4B-3478-41A0-ADBC-7ABB1D637D98}" type="pres">
      <dgm:prSet presAssocID="{29556A5D-9522-432F-8258-2DFE139DDF85}" presName="node" presStyleLbl="node1" presStyleIdx="1" presStyleCnt="6" custScaleX="133839">
        <dgm:presLayoutVars>
          <dgm:bulletEnabled val="1"/>
        </dgm:presLayoutVars>
      </dgm:prSet>
      <dgm:spPr/>
      <dgm:t>
        <a:bodyPr/>
        <a:lstStyle/>
        <a:p>
          <a:endParaRPr lang="en-US"/>
        </a:p>
      </dgm:t>
    </dgm:pt>
    <dgm:pt modelId="{95EDB460-EEBF-4771-AD95-0DDD56C71C22}" type="pres">
      <dgm:prSet presAssocID="{29556A5D-9522-432F-8258-2DFE139DDF85}" presName="spNode" presStyleCnt="0"/>
      <dgm:spPr/>
      <dgm:t>
        <a:bodyPr/>
        <a:lstStyle/>
        <a:p>
          <a:endParaRPr lang="en-US"/>
        </a:p>
      </dgm:t>
    </dgm:pt>
    <dgm:pt modelId="{CFE7813E-825C-4DA4-8EB4-35BDF8D9CC01}" type="pres">
      <dgm:prSet presAssocID="{FAFCF415-8F1E-4DE7-BD3A-DB45544C7570}" presName="sibTrans" presStyleLbl="sibTrans1D1" presStyleIdx="1" presStyleCnt="6"/>
      <dgm:spPr/>
      <dgm:t>
        <a:bodyPr/>
        <a:lstStyle/>
        <a:p>
          <a:endParaRPr lang="en-US"/>
        </a:p>
      </dgm:t>
    </dgm:pt>
    <dgm:pt modelId="{6DC81CD7-8A7D-46F5-BE55-326C327ED478}" type="pres">
      <dgm:prSet presAssocID="{D91D98B5-5B8D-4B84-ACE5-AA05536865BE}" presName="node" presStyleLbl="node1" presStyleIdx="2" presStyleCnt="6" custScaleX="133839">
        <dgm:presLayoutVars>
          <dgm:bulletEnabled val="1"/>
        </dgm:presLayoutVars>
      </dgm:prSet>
      <dgm:spPr/>
      <dgm:t>
        <a:bodyPr/>
        <a:lstStyle/>
        <a:p>
          <a:endParaRPr lang="en-US"/>
        </a:p>
      </dgm:t>
    </dgm:pt>
    <dgm:pt modelId="{1BCA5AFE-5048-4B01-AF1C-2851F8DB7848}" type="pres">
      <dgm:prSet presAssocID="{D91D98B5-5B8D-4B84-ACE5-AA05536865BE}" presName="spNode" presStyleCnt="0"/>
      <dgm:spPr/>
      <dgm:t>
        <a:bodyPr/>
        <a:lstStyle/>
        <a:p>
          <a:endParaRPr lang="en-US"/>
        </a:p>
      </dgm:t>
    </dgm:pt>
    <dgm:pt modelId="{67F3A5D2-DC02-4FF9-8E13-F0CB02567DD4}" type="pres">
      <dgm:prSet presAssocID="{F9C27E81-444F-4A82-BEBC-9FFF5BF7DA83}" presName="sibTrans" presStyleLbl="sibTrans1D1" presStyleIdx="2" presStyleCnt="6"/>
      <dgm:spPr/>
      <dgm:t>
        <a:bodyPr/>
        <a:lstStyle/>
        <a:p>
          <a:endParaRPr lang="en-US"/>
        </a:p>
      </dgm:t>
    </dgm:pt>
    <dgm:pt modelId="{10E6FC62-62F7-4BAF-AFE1-9757AA2E27CF}" type="pres">
      <dgm:prSet presAssocID="{5CFECDBA-A74D-42A8-8BD1-6CB5AC4D90A2}" presName="node" presStyleLbl="node1" presStyleIdx="3" presStyleCnt="6" custScaleX="133839">
        <dgm:presLayoutVars>
          <dgm:bulletEnabled val="1"/>
        </dgm:presLayoutVars>
      </dgm:prSet>
      <dgm:spPr/>
      <dgm:t>
        <a:bodyPr/>
        <a:lstStyle/>
        <a:p>
          <a:endParaRPr lang="en-US"/>
        </a:p>
      </dgm:t>
    </dgm:pt>
    <dgm:pt modelId="{BF3DB960-2711-4972-8117-6D6ACE844810}" type="pres">
      <dgm:prSet presAssocID="{5CFECDBA-A74D-42A8-8BD1-6CB5AC4D90A2}" presName="spNode" presStyleCnt="0"/>
      <dgm:spPr/>
      <dgm:t>
        <a:bodyPr/>
        <a:lstStyle/>
        <a:p>
          <a:endParaRPr lang="en-US"/>
        </a:p>
      </dgm:t>
    </dgm:pt>
    <dgm:pt modelId="{06052FA8-497C-493B-A064-56F723B88D17}" type="pres">
      <dgm:prSet presAssocID="{523952C3-EBDF-4F58-9D66-8FF0396ADA28}" presName="sibTrans" presStyleLbl="sibTrans1D1" presStyleIdx="3" presStyleCnt="6"/>
      <dgm:spPr/>
      <dgm:t>
        <a:bodyPr/>
        <a:lstStyle/>
        <a:p>
          <a:endParaRPr lang="en-US"/>
        </a:p>
      </dgm:t>
    </dgm:pt>
    <dgm:pt modelId="{79BA9E97-F8A1-4B6E-9127-65BFE3668C33}" type="pres">
      <dgm:prSet presAssocID="{516CD669-6887-442B-9F9F-44437A290F39}" presName="node" presStyleLbl="node1" presStyleIdx="4" presStyleCnt="6" custScaleX="133839">
        <dgm:presLayoutVars>
          <dgm:bulletEnabled val="1"/>
        </dgm:presLayoutVars>
      </dgm:prSet>
      <dgm:spPr/>
      <dgm:t>
        <a:bodyPr/>
        <a:lstStyle/>
        <a:p>
          <a:endParaRPr lang="en-US"/>
        </a:p>
      </dgm:t>
    </dgm:pt>
    <dgm:pt modelId="{F3BEB2A2-F2BE-4622-A5FA-E25B3AAE1245}" type="pres">
      <dgm:prSet presAssocID="{516CD669-6887-442B-9F9F-44437A290F39}" presName="spNode" presStyleCnt="0"/>
      <dgm:spPr/>
      <dgm:t>
        <a:bodyPr/>
        <a:lstStyle/>
        <a:p>
          <a:endParaRPr lang="en-US"/>
        </a:p>
      </dgm:t>
    </dgm:pt>
    <dgm:pt modelId="{2B4ECD9D-9F50-4464-8751-5FA376D801F5}" type="pres">
      <dgm:prSet presAssocID="{CE2050E1-7FFD-435F-8512-F5EBA4DC20A7}" presName="sibTrans" presStyleLbl="sibTrans1D1" presStyleIdx="4" presStyleCnt="6"/>
      <dgm:spPr/>
      <dgm:t>
        <a:bodyPr/>
        <a:lstStyle/>
        <a:p>
          <a:endParaRPr lang="en-US"/>
        </a:p>
      </dgm:t>
    </dgm:pt>
    <dgm:pt modelId="{8265745E-BFDF-4357-9605-0CB3A93ABC75}" type="pres">
      <dgm:prSet presAssocID="{A6B6600B-E9DC-4EA7-8685-FC9F375FE3C0}" presName="node" presStyleLbl="node1" presStyleIdx="5" presStyleCnt="6" custScaleX="133839">
        <dgm:presLayoutVars>
          <dgm:bulletEnabled val="1"/>
        </dgm:presLayoutVars>
      </dgm:prSet>
      <dgm:spPr/>
      <dgm:t>
        <a:bodyPr/>
        <a:lstStyle/>
        <a:p>
          <a:endParaRPr lang="en-US"/>
        </a:p>
      </dgm:t>
    </dgm:pt>
    <dgm:pt modelId="{E062C8C3-D8EF-476E-AD20-0BD98AE06D3E}" type="pres">
      <dgm:prSet presAssocID="{A6B6600B-E9DC-4EA7-8685-FC9F375FE3C0}" presName="spNode" presStyleCnt="0"/>
      <dgm:spPr/>
      <dgm:t>
        <a:bodyPr/>
        <a:lstStyle/>
        <a:p>
          <a:endParaRPr lang="en-US"/>
        </a:p>
      </dgm:t>
    </dgm:pt>
    <dgm:pt modelId="{38691ECE-4736-40EE-A3CE-AEB0B02213FF}" type="pres">
      <dgm:prSet presAssocID="{44D70788-525A-4439-92DD-64AD0A80A678}" presName="sibTrans" presStyleLbl="sibTrans1D1" presStyleIdx="5" presStyleCnt="6"/>
      <dgm:spPr/>
      <dgm:t>
        <a:bodyPr/>
        <a:lstStyle/>
        <a:p>
          <a:endParaRPr lang="en-US"/>
        </a:p>
      </dgm:t>
    </dgm:pt>
  </dgm:ptLst>
  <dgm:cxnLst>
    <dgm:cxn modelId="{991AF54C-2084-45E0-817E-D614687394E0}" type="presOf" srcId="{523952C3-EBDF-4F58-9D66-8FF0396ADA28}" destId="{06052FA8-497C-493B-A064-56F723B88D17}" srcOrd="0" destOrd="0" presId="urn:microsoft.com/office/officeart/2005/8/layout/cycle6"/>
    <dgm:cxn modelId="{4137FF82-C389-42C1-89FC-AE7BC6C78236}" type="presOf" srcId="{A6B6600B-E9DC-4EA7-8685-FC9F375FE3C0}" destId="{8265745E-BFDF-4357-9605-0CB3A93ABC75}" srcOrd="0" destOrd="0" presId="urn:microsoft.com/office/officeart/2005/8/layout/cycle6"/>
    <dgm:cxn modelId="{B49B841C-B9BC-4840-832C-C74EA96CBBF5}" type="presOf" srcId="{5CFECDBA-A74D-42A8-8BD1-6CB5AC4D90A2}" destId="{10E6FC62-62F7-4BAF-AFE1-9757AA2E27CF}" srcOrd="0" destOrd="0" presId="urn:microsoft.com/office/officeart/2005/8/layout/cycle6"/>
    <dgm:cxn modelId="{B184321C-8BAC-45D5-8474-C86BDD64AD1E}" type="presOf" srcId="{F9C27E81-444F-4A82-BEBC-9FFF5BF7DA83}" destId="{67F3A5D2-DC02-4FF9-8E13-F0CB02567DD4}" srcOrd="0" destOrd="0" presId="urn:microsoft.com/office/officeart/2005/8/layout/cycle6"/>
    <dgm:cxn modelId="{D431E4A4-724B-441D-AB1B-8AF3895B5B00}" srcId="{644C3FF7-5A59-4826-A4DF-D9280572BF90}" destId="{5CFECDBA-A74D-42A8-8BD1-6CB5AC4D90A2}" srcOrd="3" destOrd="0" parTransId="{B6D9DFBA-6D68-4E33-BC0B-64A8B538B888}" sibTransId="{523952C3-EBDF-4F58-9D66-8FF0396ADA28}"/>
    <dgm:cxn modelId="{FD52FA14-4D8A-472D-A787-14E98E716332}" type="presOf" srcId="{D91D98B5-5B8D-4B84-ACE5-AA05536865BE}" destId="{6DC81CD7-8A7D-46F5-BE55-326C327ED478}" srcOrd="0" destOrd="0" presId="urn:microsoft.com/office/officeart/2005/8/layout/cycle6"/>
    <dgm:cxn modelId="{36252B95-8E11-4D72-925D-A0C6C8297E5C}" type="presOf" srcId="{CE2050E1-7FFD-435F-8512-F5EBA4DC20A7}" destId="{2B4ECD9D-9F50-4464-8751-5FA376D801F5}" srcOrd="0" destOrd="0" presId="urn:microsoft.com/office/officeart/2005/8/layout/cycle6"/>
    <dgm:cxn modelId="{C4FE3782-A480-4747-A44B-FF02294E6B4E}" type="presOf" srcId="{CEDF7278-6CD4-42E9-A5CA-C91C5A70E908}" destId="{0AEDD7DA-20A8-4C87-B003-FFB513456865}" srcOrd="0" destOrd="0" presId="urn:microsoft.com/office/officeart/2005/8/layout/cycle6"/>
    <dgm:cxn modelId="{4ECF6C79-1F0B-4755-8CB1-687F8F8A8D13}" type="presOf" srcId="{DFF6E973-C2DC-4F72-BABE-57761A7BFED1}" destId="{EEF56523-B92E-4A37-93D7-8EBB692AFF9C}" srcOrd="0" destOrd="0" presId="urn:microsoft.com/office/officeart/2005/8/layout/cycle6"/>
    <dgm:cxn modelId="{E5F5338C-3E3F-4A3F-9E85-6E2505D0F826}" srcId="{644C3FF7-5A59-4826-A4DF-D9280572BF90}" destId="{DFF6E973-C2DC-4F72-BABE-57761A7BFED1}" srcOrd="0" destOrd="0" parTransId="{E3B536E7-2CCF-47CD-8156-E948FA168155}" sibTransId="{CEDF7278-6CD4-42E9-A5CA-C91C5A70E908}"/>
    <dgm:cxn modelId="{161EB3FC-A71D-4357-B0D1-2A9991EDAE04}" srcId="{644C3FF7-5A59-4826-A4DF-D9280572BF90}" destId="{516CD669-6887-442B-9F9F-44437A290F39}" srcOrd="4" destOrd="0" parTransId="{68886077-3854-45AD-933E-B6EACDD3A9AC}" sibTransId="{CE2050E1-7FFD-435F-8512-F5EBA4DC20A7}"/>
    <dgm:cxn modelId="{1C0417F2-E467-4647-B0E0-92CDF5A56325}" srcId="{644C3FF7-5A59-4826-A4DF-D9280572BF90}" destId="{A6B6600B-E9DC-4EA7-8685-FC9F375FE3C0}" srcOrd="5" destOrd="0" parTransId="{4CEFA78F-9F6C-4A1A-99CC-E848C8204081}" sibTransId="{44D70788-525A-4439-92DD-64AD0A80A678}"/>
    <dgm:cxn modelId="{EC571050-8313-4096-9953-B23129A3E673}" srcId="{644C3FF7-5A59-4826-A4DF-D9280572BF90}" destId="{29556A5D-9522-432F-8258-2DFE139DDF85}" srcOrd="1" destOrd="0" parTransId="{E07F2EAC-312B-446A-83BA-F7C9C7911C72}" sibTransId="{FAFCF415-8F1E-4DE7-BD3A-DB45544C7570}"/>
    <dgm:cxn modelId="{3DD43EDF-619E-4530-8976-089777407D1E}" type="presOf" srcId="{644C3FF7-5A59-4826-A4DF-D9280572BF90}" destId="{DA748E0E-DB12-436F-82BD-956B2A64A057}" srcOrd="0" destOrd="0" presId="urn:microsoft.com/office/officeart/2005/8/layout/cycle6"/>
    <dgm:cxn modelId="{8A779FD3-F6DE-4179-ABF8-80E1354438C3}" type="presOf" srcId="{516CD669-6887-442B-9F9F-44437A290F39}" destId="{79BA9E97-F8A1-4B6E-9127-65BFE3668C33}" srcOrd="0" destOrd="0" presId="urn:microsoft.com/office/officeart/2005/8/layout/cycle6"/>
    <dgm:cxn modelId="{F3C2C116-BB17-4C8B-8369-67C10065C08A}" type="presOf" srcId="{FAFCF415-8F1E-4DE7-BD3A-DB45544C7570}" destId="{CFE7813E-825C-4DA4-8EB4-35BDF8D9CC01}" srcOrd="0" destOrd="0" presId="urn:microsoft.com/office/officeart/2005/8/layout/cycle6"/>
    <dgm:cxn modelId="{370F3159-74C8-4EE2-B105-1AE774F0C2D4}" type="presOf" srcId="{44D70788-525A-4439-92DD-64AD0A80A678}" destId="{38691ECE-4736-40EE-A3CE-AEB0B02213FF}" srcOrd="0" destOrd="0" presId="urn:microsoft.com/office/officeart/2005/8/layout/cycle6"/>
    <dgm:cxn modelId="{2454F396-1420-41E9-84A6-1E7FF903A0AB}" type="presOf" srcId="{29556A5D-9522-432F-8258-2DFE139DDF85}" destId="{6D0CCB4B-3478-41A0-ADBC-7ABB1D637D98}" srcOrd="0" destOrd="0" presId="urn:microsoft.com/office/officeart/2005/8/layout/cycle6"/>
    <dgm:cxn modelId="{B95A370F-B0BB-42D4-9052-214E19C9F6EF}" srcId="{644C3FF7-5A59-4826-A4DF-D9280572BF90}" destId="{D91D98B5-5B8D-4B84-ACE5-AA05536865BE}" srcOrd="2" destOrd="0" parTransId="{B5278D6D-BAED-49F5-AD11-F0B11F96027F}" sibTransId="{F9C27E81-444F-4A82-BEBC-9FFF5BF7DA83}"/>
    <dgm:cxn modelId="{C807CBA5-5310-422B-97CE-9229ED0E17CF}" type="presParOf" srcId="{DA748E0E-DB12-436F-82BD-956B2A64A057}" destId="{EEF56523-B92E-4A37-93D7-8EBB692AFF9C}" srcOrd="0" destOrd="0" presId="urn:microsoft.com/office/officeart/2005/8/layout/cycle6"/>
    <dgm:cxn modelId="{B1AD9949-93F7-4551-8915-A7C42DA856F7}" type="presParOf" srcId="{DA748E0E-DB12-436F-82BD-956B2A64A057}" destId="{D58E7BE2-77CD-44BA-993F-4C42B7086A1D}" srcOrd="1" destOrd="0" presId="urn:microsoft.com/office/officeart/2005/8/layout/cycle6"/>
    <dgm:cxn modelId="{F95C10B9-274F-4524-9E37-9157E8ADD305}" type="presParOf" srcId="{DA748E0E-DB12-436F-82BD-956B2A64A057}" destId="{0AEDD7DA-20A8-4C87-B003-FFB513456865}" srcOrd="2" destOrd="0" presId="urn:microsoft.com/office/officeart/2005/8/layout/cycle6"/>
    <dgm:cxn modelId="{0F2FE07E-65E5-4333-8EF9-B9CD8940FE2D}" type="presParOf" srcId="{DA748E0E-DB12-436F-82BD-956B2A64A057}" destId="{6D0CCB4B-3478-41A0-ADBC-7ABB1D637D98}" srcOrd="3" destOrd="0" presId="urn:microsoft.com/office/officeart/2005/8/layout/cycle6"/>
    <dgm:cxn modelId="{05B801FD-3BC5-490C-BE98-E3EC649D1ED1}" type="presParOf" srcId="{DA748E0E-DB12-436F-82BD-956B2A64A057}" destId="{95EDB460-EEBF-4771-AD95-0DDD56C71C22}" srcOrd="4" destOrd="0" presId="urn:microsoft.com/office/officeart/2005/8/layout/cycle6"/>
    <dgm:cxn modelId="{B4F6623F-7DAE-47D4-A3D9-1595051A6FBA}" type="presParOf" srcId="{DA748E0E-DB12-436F-82BD-956B2A64A057}" destId="{CFE7813E-825C-4DA4-8EB4-35BDF8D9CC01}" srcOrd="5" destOrd="0" presId="urn:microsoft.com/office/officeart/2005/8/layout/cycle6"/>
    <dgm:cxn modelId="{DB581067-DFBC-4C60-935C-D7ACD1BD76D6}" type="presParOf" srcId="{DA748E0E-DB12-436F-82BD-956B2A64A057}" destId="{6DC81CD7-8A7D-46F5-BE55-326C327ED478}" srcOrd="6" destOrd="0" presId="urn:microsoft.com/office/officeart/2005/8/layout/cycle6"/>
    <dgm:cxn modelId="{DE717AEC-062A-44FC-BC76-3BE3B9B24366}" type="presParOf" srcId="{DA748E0E-DB12-436F-82BD-956B2A64A057}" destId="{1BCA5AFE-5048-4B01-AF1C-2851F8DB7848}" srcOrd="7" destOrd="0" presId="urn:microsoft.com/office/officeart/2005/8/layout/cycle6"/>
    <dgm:cxn modelId="{A8C3BA37-2C1D-43FF-A7AA-5794CBD85FA2}" type="presParOf" srcId="{DA748E0E-DB12-436F-82BD-956B2A64A057}" destId="{67F3A5D2-DC02-4FF9-8E13-F0CB02567DD4}" srcOrd="8" destOrd="0" presId="urn:microsoft.com/office/officeart/2005/8/layout/cycle6"/>
    <dgm:cxn modelId="{621C39BE-854C-4524-A853-1F3840C19ABE}" type="presParOf" srcId="{DA748E0E-DB12-436F-82BD-956B2A64A057}" destId="{10E6FC62-62F7-4BAF-AFE1-9757AA2E27CF}" srcOrd="9" destOrd="0" presId="urn:microsoft.com/office/officeart/2005/8/layout/cycle6"/>
    <dgm:cxn modelId="{F6EE440E-E703-4B7B-9B76-9F4F8721C64B}" type="presParOf" srcId="{DA748E0E-DB12-436F-82BD-956B2A64A057}" destId="{BF3DB960-2711-4972-8117-6D6ACE844810}" srcOrd="10" destOrd="0" presId="urn:microsoft.com/office/officeart/2005/8/layout/cycle6"/>
    <dgm:cxn modelId="{9AE7BCDF-E956-4F35-B870-CBADEF1D5311}" type="presParOf" srcId="{DA748E0E-DB12-436F-82BD-956B2A64A057}" destId="{06052FA8-497C-493B-A064-56F723B88D17}" srcOrd="11" destOrd="0" presId="urn:microsoft.com/office/officeart/2005/8/layout/cycle6"/>
    <dgm:cxn modelId="{77F0FAE5-1AEE-4440-A77E-ED986FB5DD46}" type="presParOf" srcId="{DA748E0E-DB12-436F-82BD-956B2A64A057}" destId="{79BA9E97-F8A1-4B6E-9127-65BFE3668C33}" srcOrd="12" destOrd="0" presId="urn:microsoft.com/office/officeart/2005/8/layout/cycle6"/>
    <dgm:cxn modelId="{FC15AAAC-F647-4AFD-B4F5-F342A57DA0B5}" type="presParOf" srcId="{DA748E0E-DB12-436F-82BD-956B2A64A057}" destId="{F3BEB2A2-F2BE-4622-A5FA-E25B3AAE1245}" srcOrd="13" destOrd="0" presId="urn:microsoft.com/office/officeart/2005/8/layout/cycle6"/>
    <dgm:cxn modelId="{BFEC5E2E-BE31-4374-8419-9734E518363E}" type="presParOf" srcId="{DA748E0E-DB12-436F-82BD-956B2A64A057}" destId="{2B4ECD9D-9F50-4464-8751-5FA376D801F5}" srcOrd="14" destOrd="0" presId="urn:microsoft.com/office/officeart/2005/8/layout/cycle6"/>
    <dgm:cxn modelId="{1471FD8A-E4A7-43D6-A082-882A3A4A1015}" type="presParOf" srcId="{DA748E0E-DB12-436F-82BD-956B2A64A057}" destId="{8265745E-BFDF-4357-9605-0CB3A93ABC75}" srcOrd="15" destOrd="0" presId="urn:microsoft.com/office/officeart/2005/8/layout/cycle6"/>
    <dgm:cxn modelId="{9B5F800D-E938-4663-ADFE-81594131CEFD}" type="presParOf" srcId="{DA748E0E-DB12-436F-82BD-956B2A64A057}" destId="{E062C8C3-D8EF-476E-AD20-0BD98AE06D3E}" srcOrd="16" destOrd="0" presId="urn:microsoft.com/office/officeart/2005/8/layout/cycle6"/>
    <dgm:cxn modelId="{D3D45814-04D5-4F89-BCEA-DD41172C4B0C}" type="presParOf" srcId="{DA748E0E-DB12-436F-82BD-956B2A64A057}" destId="{38691ECE-4736-40EE-A3CE-AEB0B02213FF}" srcOrd="17"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3B21B-032B-4167-9F0B-413376002954}">
      <dsp:nvSpPr>
        <dsp:cNvPr id="0" name=""/>
        <dsp:cNvSpPr/>
      </dsp:nvSpPr>
      <dsp:spPr>
        <a:xfrm>
          <a:off x="1455" y="193635"/>
          <a:ext cx="1295595" cy="518238"/>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Observe</a:t>
          </a:r>
        </a:p>
      </dsp:txBody>
      <dsp:txXfrm>
        <a:off x="260574" y="193635"/>
        <a:ext cx="777357" cy="518238"/>
      </dsp:txXfrm>
    </dsp:sp>
    <dsp:sp modelId="{0496E9D0-B7C9-4396-93F4-46E6D4744F97}">
      <dsp:nvSpPr>
        <dsp:cNvPr id="0" name=""/>
        <dsp:cNvSpPr/>
      </dsp:nvSpPr>
      <dsp:spPr>
        <a:xfrm>
          <a:off x="1167491" y="193635"/>
          <a:ext cx="1295595" cy="518238"/>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New Idea</a:t>
          </a:r>
        </a:p>
      </dsp:txBody>
      <dsp:txXfrm>
        <a:off x="1426610" y="193635"/>
        <a:ext cx="777357" cy="518238"/>
      </dsp:txXfrm>
    </dsp:sp>
    <dsp:sp modelId="{41E58E05-1839-4C0B-9B8E-580DFCAA5235}">
      <dsp:nvSpPr>
        <dsp:cNvPr id="0" name=""/>
        <dsp:cNvSpPr/>
      </dsp:nvSpPr>
      <dsp:spPr>
        <a:xfrm>
          <a:off x="2333527" y="193635"/>
          <a:ext cx="1295595" cy="518238"/>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Innovation</a:t>
          </a:r>
        </a:p>
      </dsp:txBody>
      <dsp:txXfrm>
        <a:off x="2592646" y="193635"/>
        <a:ext cx="777357" cy="518238"/>
      </dsp:txXfrm>
    </dsp:sp>
    <dsp:sp modelId="{A0CCE409-0508-4F7C-A6B5-682C7CBD736F}">
      <dsp:nvSpPr>
        <dsp:cNvPr id="0" name=""/>
        <dsp:cNvSpPr/>
      </dsp:nvSpPr>
      <dsp:spPr>
        <a:xfrm>
          <a:off x="3499563" y="193635"/>
          <a:ext cx="1295595" cy="518238"/>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Creativity</a:t>
          </a:r>
        </a:p>
      </dsp:txBody>
      <dsp:txXfrm>
        <a:off x="3758682" y="193635"/>
        <a:ext cx="777357" cy="518238"/>
      </dsp:txXfrm>
    </dsp:sp>
    <dsp:sp modelId="{C009BE7A-884E-4607-832D-F67FC9125689}">
      <dsp:nvSpPr>
        <dsp:cNvPr id="0" name=""/>
        <dsp:cNvSpPr/>
      </dsp:nvSpPr>
      <dsp:spPr>
        <a:xfrm>
          <a:off x="4665598" y="193635"/>
          <a:ext cx="1295595" cy="518238"/>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Society</a:t>
          </a:r>
        </a:p>
      </dsp:txBody>
      <dsp:txXfrm>
        <a:off x="4924717" y="193635"/>
        <a:ext cx="777357" cy="5182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F56523-B92E-4A37-93D7-8EBB692AFF9C}">
      <dsp:nvSpPr>
        <dsp:cNvPr id="0" name=""/>
        <dsp:cNvSpPr/>
      </dsp:nvSpPr>
      <dsp:spPr>
        <a:xfrm>
          <a:off x="2992596" y="0"/>
          <a:ext cx="1015682" cy="493274"/>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Interpretation</a:t>
          </a:r>
        </a:p>
      </dsp:txBody>
      <dsp:txXfrm>
        <a:off x="3016676" y="24080"/>
        <a:ext cx="967522" cy="445114"/>
      </dsp:txXfrm>
    </dsp:sp>
    <dsp:sp modelId="{0AEDD7DA-20A8-4C87-B003-FFB513456865}">
      <dsp:nvSpPr>
        <dsp:cNvPr id="0" name=""/>
        <dsp:cNvSpPr/>
      </dsp:nvSpPr>
      <dsp:spPr>
        <a:xfrm>
          <a:off x="2336637" y="245916"/>
          <a:ext cx="2324915" cy="2324915"/>
        </a:xfrm>
        <a:custGeom>
          <a:avLst/>
          <a:gdLst/>
          <a:ahLst/>
          <a:cxnLst/>
          <a:rect l="0" t="0" r="0" b="0"/>
          <a:pathLst>
            <a:path>
              <a:moveTo>
                <a:pt x="1675035" y="119110"/>
              </a:moveTo>
              <a:arcTo wR="1162457" hR="1162457" stAng="17769843" swAng="1099865"/>
            </a:path>
          </a:pathLst>
        </a:custGeom>
        <a:noFill/>
        <a:ln w="6350" cap="flat" cmpd="sng" algn="ctr">
          <a:solidFill>
            <a:schemeClr val="accent3">
              <a:hueOff val="0"/>
              <a:satOff val="0"/>
              <a:lumOff val="0"/>
              <a:alphaOff val="0"/>
            </a:scheme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6D0CCB4B-3478-41A0-ADBC-7ABB1D637D98}">
      <dsp:nvSpPr>
        <dsp:cNvPr id="0" name=""/>
        <dsp:cNvSpPr/>
      </dsp:nvSpPr>
      <dsp:spPr>
        <a:xfrm>
          <a:off x="3999314" y="581833"/>
          <a:ext cx="1015682" cy="493274"/>
        </a:xfrm>
        <a:prstGeom prst="roundRect">
          <a:avLst/>
        </a:prstGeom>
        <a:gradFill rotWithShape="0">
          <a:gsLst>
            <a:gs pos="0">
              <a:schemeClr val="accent3">
                <a:hueOff val="542120"/>
                <a:satOff val="20000"/>
                <a:lumOff val="-2941"/>
                <a:alphaOff val="0"/>
                <a:satMod val="103000"/>
                <a:lumMod val="102000"/>
                <a:tint val="94000"/>
              </a:schemeClr>
            </a:gs>
            <a:gs pos="50000">
              <a:schemeClr val="accent3">
                <a:hueOff val="542120"/>
                <a:satOff val="20000"/>
                <a:lumOff val="-2941"/>
                <a:alphaOff val="0"/>
                <a:satMod val="110000"/>
                <a:lumMod val="100000"/>
                <a:shade val="100000"/>
              </a:schemeClr>
            </a:gs>
            <a:gs pos="100000">
              <a:schemeClr val="accent3">
                <a:hueOff val="542120"/>
                <a:satOff val="20000"/>
                <a:lumOff val="-294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Analysis</a:t>
          </a:r>
        </a:p>
      </dsp:txBody>
      <dsp:txXfrm>
        <a:off x="4023394" y="605913"/>
        <a:ext cx="967522" cy="445114"/>
      </dsp:txXfrm>
    </dsp:sp>
    <dsp:sp modelId="{CFE7813E-825C-4DA4-8EB4-35BDF8D9CC01}">
      <dsp:nvSpPr>
        <dsp:cNvPr id="0" name=""/>
        <dsp:cNvSpPr/>
      </dsp:nvSpPr>
      <dsp:spPr>
        <a:xfrm>
          <a:off x="2337979" y="247242"/>
          <a:ext cx="2324915" cy="2324915"/>
        </a:xfrm>
        <a:custGeom>
          <a:avLst/>
          <a:gdLst/>
          <a:ahLst/>
          <a:cxnLst/>
          <a:rect l="0" t="0" r="0" b="0"/>
          <a:pathLst>
            <a:path>
              <a:moveTo>
                <a:pt x="2277629" y="834280"/>
              </a:moveTo>
              <a:arcTo wR="1162457" hR="1162457" stAng="20616100" swAng="1967799"/>
            </a:path>
          </a:pathLst>
        </a:custGeom>
        <a:noFill/>
        <a:ln w="6350" cap="flat" cmpd="sng" algn="ctr">
          <a:solidFill>
            <a:schemeClr val="accent3">
              <a:hueOff val="542120"/>
              <a:satOff val="20000"/>
              <a:lumOff val="-2941"/>
              <a:alphaOff val="0"/>
            </a:scheme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6DC81CD7-8A7D-46F5-BE55-326C327ED478}">
      <dsp:nvSpPr>
        <dsp:cNvPr id="0" name=""/>
        <dsp:cNvSpPr/>
      </dsp:nvSpPr>
      <dsp:spPr>
        <a:xfrm>
          <a:off x="3999314" y="1744291"/>
          <a:ext cx="1015682" cy="493274"/>
        </a:xfrm>
        <a:prstGeom prst="roundRect">
          <a:avLst/>
        </a:prstGeom>
        <a:gradFill rotWithShape="0">
          <a:gsLst>
            <a:gs pos="0">
              <a:schemeClr val="accent3">
                <a:hueOff val="1084240"/>
                <a:satOff val="40000"/>
                <a:lumOff val="-5882"/>
                <a:alphaOff val="0"/>
                <a:satMod val="103000"/>
                <a:lumMod val="102000"/>
                <a:tint val="94000"/>
              </a:schemeClr>
            </a:gs>
            <a:gs pos="50000">
              <a:schemeClr val="accent3">
                <a:hueOff val="1084240"/>
                <a:satOff val="40000"/>
                <a:lumOff val="-5882"/>
                <a:alphaOff val="0"/>
                <a:satMod val="110000"/>
                <a:lumMod val="100000"/>
                <a:shade val="100000"/>
              </a:schemeClr>
            </a:gs>
            <a:gs pos="100000">
              <a:schemeClr val="accent3">
                <a:hueOff val="1084240"/>
                <a:satOff val="40000"/>
                <a:lumOff val="-588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Evaluation</a:t>
          </a:r>
        </a:p>
      </dsp:txBody>
      <dsp:txXfrm>
        <a:off x="4023394" y="1768371"/>
        <a:ext cx="967522" cy="445114"/>
      </dsp:txXfrm>
    </dsp:sp>
    <dsp:sp modelId="{67F3A5D2-DC02-4FF9-8E13-F0CB02567DD4}">
      <dsp:nvSpPr>
        <dsp:cNvPr id="0" name=""/>
        <dsp:cNvSpPr/>
      </dsp:nvSpPr>
      <dsp:spPr>
        <a:xfrm>
          <a:off x="2337979" y="247242"/>
          <a:ext cx="2324915" cy="2324915"/>
        </a:xfrm>
        <a:custGeom>
          <a:avLst/>
          <a:gdLst/>
          <a:ahLst/>
          <a:cxnLst/>
          <a:rect l="0" t="0" r="0" b="0"/>
          <a:pathLst>
            <a:path>
              <a:moveTo>
                <a:pt x="1975820" y="1992969"/>
              </a:moveTo>
              <a:arcTo wR="1162457" hR="1162457" stAng="2735860" swAng="1098724"/>
            </a:path>
          </a:pathLst>
        </a:custGeom>
        <a:noFill/>
        <a:ln w="6350" cap="flat" cmpd="sng" algn="ctr">
          <a:solidFill>
            <a:schemeClr val="accent3">
              <a:hueOff val="1084240"/>
              <a:satOff val="40000"/>
              <a:lumOff val="-5882"/>
              <a:alphaOff val="0"/>
            </a:scheme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10E6FC62-62F7-4BAF-AFE1-9757AA2E27CF}">
      <dsp:nvSpPr>
        <dsp:cNvPr id="0" name=""/>
        <dsp:cNvSpPr/>
      </dsp:nvSpPr>
      <dsp:spPr>
        <a:xfrm>
          <a:off x="2992596" y="2325520"/>
          <a:ext cx="1015682" cy="493274"/>
        </a:xfrm>
        <a:prstGeom prst="roundRect">
          <a:avLst/>
        </a:prstGeom>
        <a:gradFill rotWithShape="0">
          <a:gsLst>
            <a:gs pos="0">
              <a:schemeClr val="accent3">
                <a:hueOff val="1626359"/>
                <a:satOff val="60000"/>
                <a:lumOff val="-8824"/>
                <a:alphaOff val="0"/>
                <a:satMod val="103000"/>
                <a:lumMod val="102000"/>
                <a:tint val="94000"/>
              </a:schemeClr>
            </a:gs>
            <a:gs pos="50000">
              <a:schemeClr val="accent3">
                <a:hueOff val="1626359"/>
                <a:satOff val="60000"/>
                <a:lumOff val="-8824"/>
                <a:alphaOff val="0"/>
                <a:satMod val="110000"/>
                <a:lumMod val="100000"/>
                <a:shade val="100000"/>
              </a:schemeClr>
            </a:gs>
            <a:gs pos="100000">
              <a:schemeClr val="accent3">
                <a:hueOff val="1626359"/>
                <a:satOff val="60000"/>
                <a:lumOff val="-88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Inference</a:t>
          </a:r>
        </a:p>
      </dsp:txBody>
      <dsp:txXfrm>
        <a:off x="3016676" y="2349600"/>
        <a:ext cx="967522" cy="445114"/>
      </dsp:txXfrm>
    </dsp:sp>
    <dsp:sp modelId="{06052FA8-497C-493B-A064-56F723B88D17}">
      <dsp:nvSpPr>
        <dsp:cNvPr id="0" name=""/>
        <dsp:cNvSpPr/>
      </dsp:nvSpPr>
      <dsp:spPr>
        <a:xfrm>
          <a:off x="2337979" y="247242"/>
          <a:ext cx="2324915" cy="2324915"/>
        </a:xfrm>
        <a:custGeom>
          <a:avLst/>
          <a:gdLst/>
          <a:ahLst/>
          <a:cxnLst/>
          <a:rect l="0" t="0" r="0" b="0"/>
          <a:pathLst>
            <a:path>
              <a:moveTo>
                <a:pt x="651224" y="2206463"/>
              </a:moveTo>
              <a:arcTo wR="1162457" hR="1162457" stAng="6965416" swAng="1098724"/>
            </a:path>
          </a:pathLst>
        </a:custGeom>
        <a:noFill/>
        <a:ln w="6350" cap="flat" cmpd="sng" algn="ctr">
          <a:solidFill>
            <a:schemeClr val="accent3">
              <a:hueOff val="1626359"/>
              <a:satOff val="60000"/>
              <a:lumOff val="-8824"/>
              <a:alphaOff val="0"/>
            </a:scheme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79BA9E97-F8A1-4B6E-9127-65BFE3668C33}">
      <dsp:nvSpPr>
        <dsp:cNvPr id="0" name=""/>
        <dsp:cNvSpPr/>
      </dsp:nvSpPr>
      <dsp:spPr>
        <a:xfrm>
          <a:off x="1985878" y="1744291"/>
          <a:ext cx="1015682" cy="493274"/>
        </a:xfrm>
        <a:prstGeom prst="roundRect">
          <a:avLst/>
        </a:prstGeom>
        <a:gradFill rotWithShape="0">
          <a:gsLst>
            <a:gs pos="0">
              <a:schemeClr val="accent3">
                <a:hueOff val="2168479"/>
                <a:satOff val="80000"/>
                <a:lumOff val="-11765"/>
                <a:alphaOff val="0"/>
                <a:satMod val="103000"/>
                <a:lumMod val="102000"/>
                <a:tint val="94000"/>
              </a:schemeClr>
            </a:gs>
            <a:gs pos="50000">
              <a:schemeClr val="accent3">
                <a:hueOff val="2168479"/>
                <a:satOff val="80000"/>
                <a:lumOff val="-11765"/>
                <a:alphaOff val="0"/>
                <a:satMod val="110000"/>
                <a:lumMod val="100000"/>
                <a:shade val="100000"/>
              </a:schemeClr>
            </a:gs>
            <a:gs pos="100000">
              <a:schemeClr val="accent3">
                <a:hueOff val="2168479"/>
                <a:satOff val="80000"/>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Explanation</a:t>
          </a:r>
        </a:p>
      </dsp:txBody>
      <dsp:txXfrm>
        <a:off x="2009958" y="1768371"/>
        <a:ext cx="967522" cy="445114"/>
      </dsp:txXfrm>
    </dsp:sp>
    <dsp:sp modelId="{2B4ECD9D-9F50-4464-8751-5FA376D801F5}">
      <dsp:nvSpPr>
        <dsp:cNvPr id="0" name=""/>
        <dsp:cNvSpPr/>
      </dsp:nvSpPr>
      <dsp:spPr>
        <a:xfrm>
          <a:off x="2337979" y="247242"/>
          <a:ext cx="2324915" cy="2324915"/>
        </a:xfrm>
        <a:custGeom>
          <a:avLst/>
          <a:gdLst/>
          <a:ahLst/>
          <a:cxnLst/>
          <a:rect l="0" t="0" r="0" b="0"/>
          <a:pathLst>
            <a:path>
              <a:moveTo>
                <a:pt x="47286" y="1490635"/>
              </a:moveTo>
              <a:arcTo wR="1162457" hR="1162457" stAng="9816100" swAng="1967799"/>
            </a:path>
          </a:pathLst>
        </a:custGeom>
        <a:noFill/>
        <a:ln w="6350" cap="flat" cmpd="sng" algn="ctr">
          <a:solidFill>
            <a:schemeClr val="accent3">
              <a:hueOff val="2168479"/>
              <a:satOff val="80000"/>
              <a:lumOff val="-11765"/>
              <a:alphaOff val="0"/>
            </a:scheme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8265745E-BFDF-4357-9605-0CB3A93ABC75}">
      <dsp:nvSpPr>
        <dsp:cNvPr id="0" name=""/>
        <dsp:cNvSpPr/>
      </dsp:nvSpPr>
      <dsp:spPr>
        <a:xfrm>
          <a:off x="1985878" y="581833"/>
          <a:ext cx="1015682" cy="493274"/>
        </a:xfrm>
        <a:prstGeom prst="round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Cambria" panose="02040503050406030204" pitchFamily="18" charset="0"/>
              <a:ea typeface="Cambria" panose="02040503050406030204" pitchFamily="18" charset="0"/>
            </a:rPr>
            <a:t>Metacognition</a:t>
          </a:r>
        </a:p>
      </dsp:txBody>
      <dsp:txXfrm>
        <a:off x="2009958" y="605913"/>
        <a:ext cx="967522" cy="445114"/>
      </dsp:txXfrm>
    </dsp:sp>
    <dsp:sp modelId="{38691ECE-4736-40EE-A3CE-AEB0B02213FF}">
      <dsp:nvSpPr>
        <dsp:cNvPr id="0" name=""/>
        <dsp:cNvSpPr/>
      </dsp:nvSpPr>
      <dsp:spPr>
        <a:xfrm>
          <a:off x="2339322" y="245916"/>
          <a:ext cx="2324915" cy="2324915"/>
        </a:xfrm>
        <a:custGeom>
          <a:avLst/>
          <a:gdLst/>
          <a:ahLst/>
          <a:cxnLst/>
          <a:rect l="0" t="0" r="0" b="0"/>
          <a:pathLst>
            <a:path>
              <a:moveTo>
                <a:pt x="347750" y="333265"/>
              </a:moveTo>
              <a:arcTo wR="1162457" hR="1162457" stAng="13530292" swAng="1099865"/>
            </a:path>
          </a:pathLst>
        </a:custGeom>
        <a:noFill/>
        <a:ln w="6350" cap="flat" cmpd="sng" algn="ctr">
          <a:solidFill>
            <a:schemeClr val="accent3">
              <a:hueOff val="2710599"/>
              <a:satOff val="100000"/>
              <a:lumOff val="-14706"/>
              <a:alphaOff val="0"/>
            </a:scheme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B420-C733-4421-8A52-23511362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10574</Words>
  <Characters>60278</Characters>
  <DocSecurity>0</DocSecurity>
  <Lines>502</Lines>
  <Paragraphs>141</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LinksUpToDate>false</LinksUpToDate>
  <CharactersWithSpaces>70711</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2020-02-24T04:41:00Z</cp:lastPrinted>
  <dcterms:created xsi:type="dcterms:W3CDTF">2021-05-15T04:42:00Z</dcterms:created>
  <dcterms:modified xsi:type="dcterms:W3CDTF">2021-09-11T14:17:00Z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d1740f06-a17a-34a3-98b3-59e6459aff52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http://www.zotero.org/styles/chicago-fullnote-bibliography-with-ibid</vt:lpwstr>
  </property>
  <property fmtid="{D5CDD505-2E9C-101B-9397-08002B2CF9AE}" pid="8" name="Mendeley Recent Style Name 1_1">
    <vt:lpwstr>Chicago Manual of Style 17th edition (full note, with Ibid.)</vt:lpwstr>
  </property>
  <property fmtid="{D5CDD505-2E9C-101B-9397-08002B2CF9AE}" pid="9" name="Mendeley Recent Style Id 2_1">
    <vt:lpwstr>http://www.zotero.org/styles/de-montfort-university-harvard</vt:lpwstr>
  </property>
  <property fmtid="{D5CDD505-2E9C-101B-9397-08002B2CF9AE}" pid="10" name="Mendeley Recent Style Name 2_1">
    <vt:lpwstr>De Montfort University - Harvard</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http://www.zotero.org/styles/griffith-college-harvard</vt:lpwstr>
  </property>
  <property fmtid="{D5CDD505-2E9C-101B-9397-08002B2CF9AE}" pid="18" name="Mendeley Recent Style Name 6_1">
    <vt:lpwstr>Griffith College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y fmtid="{D5CDD505-2E9C-101B-9397-08002B2CF9AE}" pid="25" name="ZOTERO_PREF_1">
    <vt:lpwstr>&lt;data data-version="3" zotero-version="5.0.96.3"&gt;&lt;session id="DvVQWWbP"/&gt;&lt;style id="http://www.zotero.org/styles/apa" locale="en-US" hasBibliography="1" bibliographyStyleHasBeenSet="1"/&gt;&lt;prefs&gt;&lt;pref name="fieldType" value="Field"/&gt;&lt;/prefs&gt;&lt;/data&gt;</vt:lpwstr>
  </property>
</Properties>
</file>